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14" w:firstLineChars="1000"/>
        <w:jc w:val="both"/>
        <w:rPr>
          <w:rFonts w:hint="eastAsia" w:ascii="仿宋" w:hAnsi="仿宋" w:eastAsia="仿宋" w:cs="仿宋"/>
          <w:b/>
          <w:bCs/>
          <w:color w:val="000000"/>
          <w:sz w:val="36"/>
          <w:szCs w:val="36"/>
        </w:rPr>
      </w:pPr>
      <w:r>
        <w:rPr>
          <w:rFonts w:hint="eastAsia" w:ascii="仿宋" w:hAnsi="仿宋" w:eastAsia="仿宋" w:cs="仿宋"/>
          <w:b/>
          <w:bCs/>
          <w:color w:val="000000"/>
          <w:sz w:val="36"/>
          <w:szCs w:val="36"/>
          <w:lang w:eastAsia="zh-CN"/>
        </w:rPr>
        <w:t>竞价</w:t>
      </w:r>
      <w:r>
        <w:rPr>
          <w:rFonts w:hint="eastAsia" w:ascii="仿宋" w:hAnsi="仿宋" w:eastAsia="仿宋" w:cs="仿宋"/>
          <w:b/>
          <w:bCs/>
          <w:color w:val="000000"/>
          <w:sz w:val="36"/>
          <w:szCs w:val="36"/>
        </w:rPr>
        <w:t>函</w:t>
      </w:r>
    </w:p>
    <w:p>
      <w:pPr>
        <w:ind w:firstLine="480" w:firstLineChars="200"/>
        <w:jc w:val="both"/>
        <w:rPr>
          <w:rFonts w:hint="eastAsia" w:ascii="仿宋" w:hAnsi="仿宋" w:eastAsia="仿宋" w:cs="仿宋"/>
          <w:color w:val="000000"/>
          <w:sz w:val="22"/>
          <w:szCs w:val="22"/>
        </w:rPr>
      </w:pPr>
      <w:r>
        <w:rPr>
          <w:rFonts w:hint="eastAsia" w:ascii="仿宋" w:hAnsi="仿宋" w:eastAsia="仿宋" w:cs="仿宋"/>
          <w:color w:val="000000"/>
          <w:sz w:val="24"/>
          <w:szCs w:val="24"/>
        </w:rPr>
        <w:t>我公司拟对</w:t>
      </w:r>
      <w:r>
        <w:rPr>
          <w:rFonts w:hint="eastAsia" w:ascii="仿宋" w:hAnsi="仿宋" w:eastAsia="仿宋" w:cs="仿宋"/>
          <w:b/>
          <w:bCs/>
          <w:color w:val="000000"/>
          <w:sz w:val="24"/>
          <w:szCs w:val="24"/>
          <w:u w:val="single"/>
          <w:lang w:val="en-US" w:eastAsia="zh-CN"/>
        </w:rPr>
        <w:t>雅州壹号院项目配电箱采购（二次）</w:t>
      </w:r>
      <w:r>
        <w:rPr>
          <w:rFonts w:hint="eastAsia" w:ascii="仿宋" w:hAnsi="仿宋" w:eastAsia="仿宋" w:cs="仿宋"/>
          <w:color w:val="000000"/>
          <w:sz w:val="24"/>
          <w:szCs w:val="24"/>
        </w:rPr>
        <w:t>进行</w:t>
      </w:r>
      <w:r>
        <w:rPr>
          <w:rFonts w:hint="eastAsia" w:ascii="仿宋" w:hAnsi="仿宋" w:eastAsia="仿宋" w:cs="仿宋"/>
          <w:color w:val="000000"/>
          <w:sz w:val="24"/>
          <w:szCs w:val="24"/>
          <w:lang w:eastAsia="zh-CN"/>
        </w:rPr>
        <w:t>竞价</w:t>
      </w:r>
      <w:r>
        <w:rPr>
          <w:rFonts w:hint="eastAsia" w:ascii="仿宋" w:hAnsi="仿宋" w:eastAsia="仿宋" w:cs="仿宋"/>
          <w:color w:val="000000"/>
          <w:sz w:val="24"/>
          <w:szCs w:val="24"/>
          <w:lang w:val="en-US" w:eastAsia="zh-CN"/>
        </w:rPr>
        <w:t>采购</w:t>
      </w:r>
      <w:r>
        <w:rPr>
          <w:rFonts w:hint="eastAsia" w:ascii="仿宋" w:hAnsi="仿宋" w:eastAsia="仿宋" w:cs="仿宋"/>
          <w:color w:val="000000"/>
          <w:sz w:val="24"/>
          <w:szCs w:val="24"/>
        </w:rPr>
        <w:t>，现诚邀遵守国家、地方有关法律、</w:t>
      </w:r>
      <w:r>
        <w:rPr>
          <w:rFonts w:hint="eastAsia" w:ascii="仿宋" w:hAnsi="仿宋" w:eastAsia="仿宋" w:cs="仿宋"/>
          <w:color w:val="000000"/>
          <w:sz w:val="24"/>
          <w:szCs w:val="24"/>
          <w:lang w:val="en-US" w:eastAsia="zh-CN"/>
        </w:rPr>
        <w:t>法</w:t>
      </w:r>
      <w:r>
        <w:rPr>
          <w:rFonts w:hint="eastAsia" w:ascii="仿宋" w:hAnsi="仿宋" w:eastAsia="仿宋" w:cs="仿宋"/>
          <w:color w:val="000000"/>
          <w:sz w:val="24"/>
          <w:szCs w:val="24"/>
        </w:rPr>
        <w:t>规，具有良好的商业信誉及服务能力的单位参加</w:t>
      </w:r>
      <w:r>
        <w:rPr>
          <w:rFonts w:hint="eastAsia" w:ascii="仿宋" w:hAnsi="仿宋" w:eastAsia="仿宋" w:cs="仿宋"/>
          <w:color w:val="000000"/>
          <w:sz w:val="22"/>
          <w:szCs w:val="22"/>
        </w:rPr>
        <w:t>。</w:t>
      </w:r>
    </w:p>
    <w:tbl>
      <w:tblPr>
        <w:tblStyle w:val="9"/>
        <w:tblW w:w="1105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2839"/>
        <w:gridCol w:w="1552"/>
        <w:gridCol w:w="4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053" w:type="dxa"/>
            <w:gridSpan w:val="4"/>
            <w:noWrap w:val="0"/>
            <w:vAlign w:val="top"/>
          </w:tcPr>
          <w:p>
            <w:pPr>
              <w:rPr>
                <w:rFonts w:hint="eastAsia" w:eastAsia="仿宋"/>
                <w:lang w:val="en-US" w:eastAsia="zh-CN"/>
              </w:rPr>
            </w:pPr>
            <w:r>
              <w:rPr>
                <w:rFonts w:hint="eastAsia" w:ascii="仿宋" w:hAnsi="仿宋" w:eastAsia="仿宋" w:cs="仿宋"/>
                <w:b/>
                <w:bCs/>
                <w:color w:val="000000"/>
                <w:sz w:val="24"/>
                <w:szCs w:val="24"/>
                <w:u w:val="none"/>
                <w:lang w:val="en-US" w:eastAsia="zh-CN"/>
              </w:rPr>
              <w:t>项目名称：雅州壹号院项目配电箱采购（二次）</w:t>
            </w:r>
          </w:p>
          <w:p>
            <w:pPr>
              <w:spacing w:line="500" w:lineRule="exact"/>
              <w:rPr>
                <w:rFonts w:hint="default" w:ascii="仿宋" w:hAnsi="仿宋" w:eastAsia="仿宋" w:cs="仿宋"/>
                <w:b/>
                <w:bCs/>
                <w:color w:val="000000"/>
                <w:kern w:val="1"/>
                <w:sz w:val="24"/>
                <w:szCs w:val="24"/>
                <w:u w:val="none"/>
                <w:lang w:val="en-US" w:eastAsia="zh-CN" w:bidi="ar-SA"/>
              </w:rPr>
            </w:pPr>
            <w:r>
              <w:rPr>
                <w:rFonts w:hint="eastAsia" w:ascii="仿宋" w:hAnsi="仿宋" w:eastAsia="仿宋" w:cs="仿宋"/>
                <w:b/>
                <w:bCs/>
                <w:color w:val="000000"/>
                <w:sz w:val="24"/>
                <w:szCs w:val="24"/>
                <w:u w:val="none"/>
                <w:lang w:val="en-US" w:eastAsia="zh-CN"/>
              </w:rPr>
              <w:t>项目地址：</w:t>
            </w:r>
            <w:r>
              <w:rPr>
                <w:rFonts w:hint="eastAsia" w:ascii="仿宋" w:hAnsi="仿宋" w:eastAsia="仿宋" w:cs="仿宋"/>
                <w:b/>
                <w:bCs/>
                <w:color w:val="000000"/>
                <w:kern w:val="1"/>
                <w:sz w:val="24"/>
                <w:szCs w:val="24"/>
                <w:u w:val="none"/>
                <w:lang w:val="en-US" w:eastAsia="zh-CN" w:bidi="ar-SA"/>
              </w:rPr>
              <w:t>四川省雅安市雨城区前进西街雨城区大兴寺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053" w:type="dxa"/>
            <w:gridSpan w:val="4"/>
            <w:noWrap w:val="0"/>
            <w:vAlign w:val="top"/>
          </w:tcPr>
          <w:p>
            <w:pPr>
              <w:spacing w:line="500" w:lineRule="exact"/>
              <w:rPr>
                <w:rFonts w:hint="eastAsia" w:ascii="仿宋" w:hAnsi="仿宋" w:eastAsia="仿宋" w:cs="仿宋"/>
                <w:b w:val="0"/>
                <w:bCs/>
                <w:color w:val="000000"/>
                <w:sz w:val="24"/>
                <w:szCs w:val="24"/>
              </w:rPr>
            </w:pPr>
            <w:r>
              <w:rPr>
                <w:rFonts w:hint="eastAsia" w:ascii="仿宋" w:hAnsi="仿宋" w:eastAsia="仿宋" w:cs="仿宋"/>
                <w:b/>
                <w:bCs w:val="0"/>
                <w:color w:val="000000"/>
                <w:sz w:val="24"/>
                <w:szCs w:val="24"/>
                <w:lang w:val="en-US" w:eastAsia="zh-CN"/>
              </w:rPr>
              <w:t>采购人</w:t>
            </w:r>
            <w:r>
              <w:rPr>
                <w:rFonts w:hint="eastAsia" w:ascii="仿宋" w:hAnsi="仿宋" w:eastAsia="仿宋" w:cs="仿宋"/>
                <w:b/>
                <w:bCs w:val="0"/>
                <w:color w:val="000000"/>
                <w:sz w:val="24"/>
                <w:szCs w:val="24"/>
              </w:rPr>
              <w:t>名称：</w:t>
            </w:r>
            <w:r>
              <w:rPr>
                <w:rFonts w:hint="eastAsia" w:ascii="仿宋" w:hAnsi="仿宋" w:eastAsia="仿宋" w:cs="仿宋"/>
                <w:b w:val="0"/>
                <w:bCs/>
                <w:color w:val="000000"/>
                <w:sz w:val="24"/>
                <w:szCs w:val="24"/>
              </w:rPr>
              <w:t>雅安城投</w:t>
            </w:r>
            <w:r>
              <w:rPr>
                <w:rFonts w:hint="eastAsia" w:ascii="仿宋" w:hAnsi="仿宋" w:eastAsia="仿宋" w:cs="仿宋"/>
                <w:b w:val="0"/>
                <w:bCs/>
                <w:color w:val="000000"/>
                <w:sz w:val="24"/>
                <w:szCs w:val="24"/>
                <w:lang w:val="en-US" w:eastAsia="zh-CN"/>
              </w:rPr>
              <w:t>供应链</w:t>
            </w:r>
            <w:r>
              <w:rPr>
                <w:rFonts w:hint="eastAsia" w:ascii="仿宋" w:hAnsi="仿宋" w:eastAsia="仿宋" w:cs="仿宋"/>
                <w:b w:val="0"/>
                <w:bCs/>
                <w:color w:val="000000"/>
                <w:sz w:val="24"/>
                <w:szCs w:val="24"/>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910" w:type="dxa"/>
            <w:noWrap w:val="0"/>
            <w:vAlign w:val="top"/>
          </w:tcPr>
          <w:p>
            <w:pPr>
              <w:spacing w:line="500" w:lineRule="exact"/>
              <w:ind w:firstLine="482" w:firstLineChars="200"/>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联系人</w:t>
            </w:r>
          </w:p>
        </w:tc>
        <w:tc>
          <w:tcPr>
            <w:tcW w:w="2839" w:type="dxa"/>
            <w:tcBorders>
              <w:bottom w:val="single" w:color="auto" w:sz="4" w:space="0"/>
            </w:tcBorders>
            <w:noWrap w:val="0"/>
            <w:vAlign w:val="top"/>
          </w:tcPr>
          <w:p>
            <w:pPr>
              <w:spacing w:line="500" w:lineRule="exact"/>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汤先生、任女士</w:t>
            </w:r>
          </w:p>
        </w:tc>
        <w:tc>
          <w:tcPr>
            <w:tcW w:w="1552" w:type="dxa"/>
            <w:tcBorders>
              <w:bottom w:val="single" w:color="auto" w:sz="4" w:space="0"/>
            </w:tcBorders>
            <w:noWrap w:val="0"/>
            <w:vAlign w:val="top"/>
          </w:tcPr>
          <w:p>
            <w:pPr>
              <w:spacing w:line="500" w:lineRule="exact"/>
              <w:rPr>
                <w:rFonts w:hint="eastAsia" w:ascii="仿宋" w:hAnsi="仿宋" w:eastAsia="仿宋" w:cs="仿宋"/>
                <w:b w:val="0"/>
                <w:bCs/>
                <w:color w:val="000000"/>
                <w:sz w:val="24"/>
                <w:szCs w:val="24"/>
              </w:rPr>
            </w:pPr>
            <w:r>
              <w:rPr>
                <w:rFonts w:hint="eastAsia" w:ascii="仿宋" w:hAnsi="仿宋" w:eastAsia="仿宋" w:cs="仿宋"/>
                <w:b/>
                <w:bCs w:val="0"/>
                <w:color w:val="000000"/>
                <w:sz w:val="24"/>
                <w:szCs w:val="24"/>
              </w:rPr>
              <w:t>联系方式</w:t>
            </w:r>
          </w:p>
        </w:tc>
        <w:tc>
          <w:tcPr>
            <w:tcW w:w="4752" w:type="dxa"/>
            <w:tcBorders>
              <w:bottom w:val="single" w:color="auto" w:sz="4" w:space="0"/>
            </w:tcBorders>
            <w:noWrap w:val="0"/>
            <w:vAlign w:val="top"/>
          </w:tcPr>
          <w:p>
            <w:pPr>
              <w:spacing w:line="500" w:lineRule="exact"/>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13402875184、17380462650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910" w:type="dxa"/>
            <w:noWrap w:val="0"/>
            <w:vAlign w:val="center"/>
          </w:tcPr>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采购</w:t>
            </w:r>
            <w:r>
              <w:rPr>
                <w:rFonts w:hint="eastAsia" w:ascii="仿宋" w:hAnsi="仿宋" w:eastAsia="仿宋" w:cs="仿宋"/>
                <w:b/>
                <w:bCs w:val="0"/>
                <w:color w:val="000000"/>
                <w:sz w:val="24"/>
                <w:szCs w:val="24"/>
              </w:rPr>
              <w:t>范围</w:t>
            </w:r>
            <w:r>
              <w:rPr>
                <w:rFonts w:hint="eastAsia" w:ascii="仿宋" w:hAnsi="仿宋" w:eastAsia="仿宋" w:cs="仿宋"/>
                <w:b/>
                <w:bCs w:val="0"/>
                <w:color w:val="000000"/>
                <w:sz w:val="24"/>
                <w:szCs w:val="24"/>
                <w:lang w:val="en-US" w:eastAsia="zh-CN"/>
              </w:rPr>
              <w:t xml:space="preserve">   </w:t>
            </w:r>
          </w:p>
          <w:p>
            <w:pPr>
              <w:spacing w:line="500" w:lineRule="exact"/>
              <w:jc w:val="center"/>
              <w:rPr>
                <w:rFonts w:hint="eastAsia" w:ascii="仿宋" w:hAnsi="仿宋" w:eastAsia="仿宋" w:cs="仿宋"/>
                <w:b/>
                <w:bCs w:val="0"/>
                <w:color w:val="000000"/>
                <w:sz w:val="24"/>
                <w:szCs w:val="24"/>
                <w:lang w:eastAsia="zh-CN"/>
              </w:rPr>
            </w:pPr>
            <w:r>
              <w:rPr>
                <w:rFonts w:hint="eastAsia" w:ascii="仿宋" w:hAnsi="仿宋" w:eastAsia="仿宋" w:cs="仿宋"/>
                <w:b/>
                <w:bCs w:val="0"/>
                <w:color w:val="000000"/>
                <w:sz w:val="24"/>
                <w:szCs w:val="24"/>
              </w:rPr>
              <w:t>要求描述</w:t>
            </w:r>
          </w:p>
        </w:tc>
        <w:tc>
          <w:tcPr>
            <w:tcW w:w="9143" w:type="dxa"/>
            <w:gridSpan w:val="3"/>
            <w:tcBorders>
              <w:bottom w:val="single" w:color="auto" w:sz="4" w:space="0"/>
            </w:tcBorders>
            <w:noWrap w:val="0"/>
            <w:vAlign w:val="top"/>
          </w:tcPr>
          <w:p>
            <w:pPr>
              <w:numPr>
                <w:ilvl w:val="0"/>
                <w:numId w:val="2"/>
              </w:numPr>
              <w:rPr>
                <w:rFonts w:hint="default" w:ascii="仿宋" w:hAnsi="仿宋" w:eastAsia="仿宋" w:cs="仿宋"/>
                <w:b/>
                <w:bCs w:val="0"/>
                <w:color w:val="auto"/>
                <w:sz w:val="24"/>
                <w:szCs w:val="24"/>
                <w:lang w:val="en-US"/>
              </w:rPr>
            </w:pPr>
            <w:r>
              <w:rPr>
                <w:rFonts w:hint="eastAsia" w:ascii="仿宋" w:hAnsi="仿宋" w:eastAsia="仿宋" w:cs="仿宋"/>
                <w:b/>
                <w:bCs w:val="0"/>
                <w:color w:val="auto"/>
                <w:sz w:val="24"/>
                <w:szCs w:val="24"/>
                <w:lang w:val="en-US" w:eastAsia="zh-CN"/>
              </w:rPr>
              <w:t>本次采购范围：</w:t>
            </w:r>
            <w:r>
              <w:rPr>
                <w:rFonts w:hint="eastAsia" w:ascii="仿宋" w:hAnsi="仿宋" w:eastAsia="仿宋" w:cs="仿宋"/>
                <w:b/>
                <w:bCs/>
                <w:color w:val="000000"/>
                <w:sz w:val="24"/>
                <w:szCs w:val="24"/>
                <w:u w:val="none"/>
                <w:lang w:val="en-US" w:eastAsia="zh-CN"/>
              </w:rPr>
              <w:t>配电箱</w:t>
            </w:r>
            <w:r>
              <w:rPr>
                <w:rFonts w:hint="eastAsia" w:ascii="仿宋" w:hAnsi="仿宋" w:eastAsia="仿宋" w:cs="仿宋"/>
                <w:b/>
                <w:bCs/>
                <w:color w:val="000000"/>
                <w:sz w:val="24"/>
                <w:szCs w:val="24"/>
                <w:lang w:val="en-US" w:eastAsia="zh-CN"/>
              </w:rPr>
              <w:t>。</w:t>
            </w:r>
            <w:r>
              <w:rPr>
                <w:rFonts w:hint="eastAsia" w:ascii="仿宋" w:hAnsi="仿宋" w:eastAsia="仿宋" w:cs="仿宋"/>
                <w:b/>
                <w:bCs w:val="0"/>
                <w:color w:val="auto"/>
                <w:sz w:val="24"/>
                <w:szCs w:val="24"/>
                <w:lang w:val="en-US" w:eastAsia="zh-CN"/>
              </w:rPr>
              <w:t xml:space="preserve"> </w:t>
            </w:r>
          </w:p>
          <w:p>
            <w:pPr>
              <w:numPr>
                <w:ilvl w:val="0"/>
                <w:numId w:val="0"/>
              </w:numPr>
              <w:rPr>
                <w:rFonts w:hint="default" w:ascii="仿宋" w:hAnsi="仿宋" w:eastAsia="仿宋" w:cs="仿宋"/>
                <w:b/>
                <w:bCs w:val="0"/>
                <w:color w:val="auto"/>
                <w:sz w:val="24"/>
                <w:szCs w:val="24"/>
                <w:lang w:val="en-US"/>
              </w:rPr>
            </w:pPr>
            <w:r>
              <w:rPr>
                <w:rFonts w:hint="eastAsia" w:ascii="仿宋" w:hAnsi="仿宋" w:eastAsia="仿宋" w:cs="仿宋"/>
                <w:b/>
                <w:bCs w:val="0"/>
                <w:color w:val="auto"/>
                <w:sz w:val="36"/>
                <w:szCs w:val="36"/>
                <w:lang w:val="en-US" w:eastAsia="zh-CN"/>
              </w:rPr>
              <w:t>★</w:t>
            </w:r>
            <w:r>
              <w:rPr>
                <w:rFonts w:hint="eastAsia" w:ascii="仿宋" w:hAnsi="仿宋" w:eastAsia="仿宋" w:cs="仿宋"/>
                <w:b/>
                <w:bCs/>
                <w:color w:val="000000"/>
                <w:kern w:val="1"/>
                <w:sz w:val="24"/>
                <w:szCs w:val="24"/>
                <w:u w:val="none"/>
                <w:lang w:val="en-US" w:eastAsia="zh-CN" w:bidi="ar-SA"/>
              </w:rPr>
              <w:t>2</w:t>
            </w:r>
            <w:r>
              <w:rPr>
                <w:rFonts w:hint="eastAsia" w:ascii="仿宋" w:hAnsi="仿宋" w:eastAsia="仿宋" w:cs="仿宋"/>
                <w:b/>
                <w:bCs/>
                <w:color w:val="auto"/>
                <w:sz w:val="24"/>
                <w:szCs w:val="24"/>
                <w:lang w:val="en-US" w:eastAsia="zh-CN"/>
              </w:rPr>
              <w:t>、设计图纸请各竞价单位联系采购人获取。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910" w:type="dxa"/>
            <w:noWrap w:val="0"/>
            <w:vAlign w:val="center"/>
          </w:tcPr>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供货周期</w:t>
            </w:r>
          </w:p>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 xml:space="preserve">质量要求  </w:t>
            </w:r>
          </w:p>
        </w:tc>
        <w:tc>
          <w:tcPr>
            <w:tcW w:w="9143" w:type="dxa"/>
            <w:gridSpan w:val="3"/>
            <w:tcBorders>
              <w:top w:val="single" w:color="auto" w:sz="4" w:space="0"/>
            </w:tcBorders>
            <w:noWrap w:val="0"/>
            <w:vAlign w:val="top"/>
          </w:tcPr>
          <w:p>
            <w:pPr>
              <w:numPr>
                <w:ilvl w:val="0"/>
                <w:numId w:val="0"/>
              </w:numPr>
              <w:adjustRightInd w:val="0"/>
              <w:snapToGrid w:val="0"/>
              <w:ind w:leftChars="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1、供货周期</w:t>
            </w:r>
            <w:r>
              <w:rPr>
                <w:rFonts w:hint="eastAsia" w:ascii="仿宋" w:hAnsi="仿宋" w:eastAsia="仿宋" w:cs="仿宋"/>
                <w:b/>
                <w:bCs/>
                <w:color w:val="auto"/>
                <w:sz w:val="24"/>
                <w:szCs w:val="24"/>
                <w:highlight w:val="none"/>
                <w:lang w:val="en-US" w:eastAsia="zh-CN"/>
              </w:rPr>
              <w:t>：至项目完工。</w:t>
            </w:r>
            <w:r>
              <w:rPr>
                <w:rFonts w:hint="eastAsia" w:ascii="仿宋" w:hAnsi="仿宋" w:eastAsia="仿宋" w:cs="仿宋"/>
                <w:b/>
                <w:bCs/>
                <w:color w:val="auto"/>
                <w:sz w:val="24"/>
                <w:szCs w:val="24"/>
                <w:lang w:val="en-US" w:eastAsia="zh-CN"/>
              </w:rPr>
              <w:t>以甲方通知时间为准(具体以项目实际进度为准)。</w:t>
            </w:r>
          </w:p>
          <w:p>
            <w:pPr>
              <w:adjustRightInd w:val="0"/>
              <w:snapToGrid w:val="0"/>
              <w:rPr>
                <w:rFonts w:hint="eastAsia" w:ascii="仿宋" w:hAnsi="仿宋" w:eastAsia="仿宋" w:cs="仿宋"/>
                <w:b/>
                <w:bCs w:val="0"/>
                <w:color w:val="auto"/>
                <w:sz w:val="24"/>
                <w:szCs w:val="24"/>
                <w:lang w:val="en-US" w:eastAsia="zh-CN"/>
              </w:rPr>
            </w:pPr>
            <w:r>
              <w:rPr>
                <w:rFonts w:hint="eastAsia" w:ascii="仿宋" w:hAnsi="仿宋" w:eastAsia="仿宋" w:cs="仿宋"/>
                <w:b/>
                <w:bCs/>
                <w:color w:val="auto"/>
                <w:sz w:val="24"/>
                <w:szCs w:val="24"/>
                <w:highlight w:val="none"/>
                <w:lang w:val="en-US" w:eastAsia="zh-CN"/>
              </w:rPr>
              <w:t>2、质量要求：达到现行国家相关行业标准要求，并达到检验合格标准，满足项目部质量要求。出具相关检测报告。</w:t>
            </w:r>
            <w:r>
              <w:rPr>
                <w:rFonts w:hint="eastAsia" w:ascii="仿宋" w:hAnsi="仿宋" w:eastAsia="仿宋" w:cs="仿宋"/>
                <w:b/>
                <w:bCs/>
                <w:color w:val="auto"/>
                <w:kern w:val="2"/>
                <w:sz w:val="24"/>
                <w:szCs w:val="24"/>
                <w:highlight w:val="none"/>
                <w:lang w:val="en-US" w:eastAsia="zh-CN" w:bidi="ar-SA"/>
              </w:rPr>
              <w:t>配电箱的电气配件品牌须采用德力西，正泰</w:t>
            </w:r>
            <w:r>
              <w:rPr>
                <w:rFonts w:hint="eastAsia" w:ascii="仿宋" w:hAnsi="仿宋" w:eastAsia="仿宋" w:cs="仿宋"/>
                <w:b/>
                <w:bCs/>
                <w:color w:val="auto"/>
                <w:sz w:val="24"/>
                <w:szCs w:val="24"/>
                <w:highlight w:val="none"/>
                <w:lang w:val="en-US" w:eastAsia="zh-CN"/>
              </w:rPr>
              <w:t>等同质量的合格产品。电气配件须为正品合格产品。若发现贴牌等假冒伪劣产品，假一罚三。并赔偿所有损失费用（包含但不限于直接损失、工期损失、人工损失、材料损失等）。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910" w:type="dxa"/>
            <w:noWrap w:val="0"/>
            <w:vAlign w:val="center"/>
          </w:tcPr>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auto"/>
                <w:sz w:val="24"/>
                <w:szCs w:val="24"/>
                <w:lang w:val="en-US" w:eastAsia="zh-CN"/>
              </w:rPr>
              <w:t>其他要求</w:t>
            </w:r>
          </w:p>
        </w:tc>
        <w:tc>
          <w:tcPr>
            <w:tcW w:w="9143" w:type="dxa"/>
            <w:gridSpan w:val="3"/>
            <w:tcBorders>
              <w:top w:val="single" w:color="auto" w:sz="4" w:space="0"/>
            </w:tcBorders>
            <w:noWrap w:val="0"/>
            <w:vAlign w:val="top"/>
          </w:tcPr>
          <w:p>
            <w:pPr>
              <w:adjustRightInd w:val="0"/>
              <w:snapToGrid w:val="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★1、竞价人需提供元气件、箱体等报价明细。</w:t>
            </w:r>
          </w:p>
          <w:p>
            <w:pPr>
              <w:adjustRightInd w:val="0"/>
              <w:snapToGrid w:val="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2、涉及消防系统联动的配电箱，由采购人提供消防电源监控模块，竞价人负责免费安装。</w:t>
            </w:r>
          </w:p>
          <w:p>
            <w:pPr>
              <w:adjustRightInd w:val="0"/>
              <w:snapToGrid w:val="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3、需要进行安装、调试的采购设备时，竞价人应无偿负责派遣技术人员指导安装、调试工作，保证采购物品能达到预定的性能指标。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910" w:type="dxa"/>
            <w:noWrap w:val="0"/>
            <w:vAlign w:val="center"/>
          </w:tcPr>
          <w:p>
            <w:pPr>
              <w:spacing w:line="500" w:lineRule="exact"/>
              <w:jc w:val="center"/>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配电箱技术要求</w:t>
            </w:r>
          </w:p>
        </w:tc>
        <w:tc>
          <w:tcPr>
            <w:tcW w:w="9143" w:type="dxa"/>
            <w:gridSpan w:val="3"/>
            <w:tcBorders>
              <w:top w:val="single" w:color="auto" w:sz="4" w:space="0"/>
            </w:tcBorders>
            <w:noWrap w:val="0"/>
            <w:vAlign w:val="top"/>
          </w:tcPr>
          <w:p>
            <w:pPr>
              <w:numPr>
                <w:ilvl w:val="0"/>
                <w:numId w:val="0"/>
              </w:numPr>
              <w:adjustRightInd w:val="0"/>
              <w:snapToGrid w:val="0"/>
              <w:rPr>
                <w:rFonts w:hint="default" w:ascii="仿宋" w:hAnsi="仿宋" w:eastAsia="仿宋" w:cs="仿宋"/>
                <w:b/>
                <w:bCs/>
                <w:color w:val="auto"/>
                <w:sz w:val="24"/>
                <w:szCs w:val="24"/>
                <w:highlight w:val="none"/>
                <w:lang w:val="en-US" w:eastAsia="zh-CN"/>
              </w:rPr>
            </w:pPr>
            <w:r>
              <w:rPr>
                <w:rFonts w:hint="default" w:ascii="仿宋" w:hAnsi="仿宋" w:eastAsia="仿宋" w:cs="仿宋"/>
                <w:b/>
                <w:bCs/>
                <w:color w:val="auto"/>
                <w:sz w:val="24"/>
                <w:szCs w:val="24"/>
                <w:highlight w:val="none"/>
                <w:lang w:val="en-US" w:eastAsia="zh-CN"/>
              </w:rPr>
              <w:t>1.LEB端子箱铜排需用4mm厚紫铜排，参见15D502及相关说明。</w:t>
            </w:r>
          </w:p>
          <w:p>
            <w:pPr>
              <w:numPr>
                <w:ilvl w:val="0"/>
                <w:numId w:val="0"/>
              </w:numPr>
              <w:adjustRightInd w:val="0"/>
              <w:snapToGrid w:val="0"/>
              <w:rPr>
                <w:rFonts w:hint="default" w:ascii="仿宋" w:hAnsi="仿宋" w:eastAsia="仿宋" w:cs="仿宋"/>
                <w:b/>
                <w:bCs/>
                <w:color w:val="auto"/>
                <w:sz w:val="24"/>
                <w:szCs w:val="24"/>
                <w:highlight w:val="none"/>
                <w:lang w:val="en-US" w:eastAsia="zh-CN"/>
              </w:rPr>
            </w:pPr>
            <w:r>
              <w:rPr>
                <w:rFonts w:hint="default" w:ascii="仿宋" w:hAnsi="仿宋" w:eastAsia="仿宋" w:cs="仿宋"/>
                <w:b/>
                <w:bCs/>
                <w:color w:val="auto"/>
                <w:sz w:val="24"/>
                <w:szCs w:val="24"/>
                <w:highlight w:val="none"/>
                <w:lang w:val="en-US" w:eastAsia="zh-CN"/>
              </w:rPr>
              <w:t>2.元器件规格需严格按照图纸要求.</w:t>
            </w:r>
          </w:p>
          <w:p>
            <w:pPr>
              <w:numPr>
                <w:ilvl w:val="0"/>
                <w:numId w:val="0"/>
              </w:numPr>
              <w:adjustRightInd w:val="0"/>
              <w:snapToGrid w:val="0"/>
              <w:rPr>
                <w:rFonts w:hint="default" w:ascii="仿宋" w:hAnsi="仿宋" w:eastAsia="仿宋" w:cs="仿宋"/>
                <w:b/>
                <w:bCs/>
                <w:color w:val="auto"/>
                <w:sz w:val="24"/>
                <w:szCs w:val="24"/>
                <w:highlight w:val="none"/>
                <w:lang w:val="en-US" w:eastAsia="zh-CN"/>
              </w:rPr>
            </w:pPr>
            <w:r>
              <w:rPr>
                <w:rFonts w:hint="default" w:ascii="仿宋" w:hAnsi="仿宋" w:eastAsia="仿宋" w:cs="仿宋"/>
                <w:b/>
                <w:bCs/>
                <w:color w:val="auto"/>
                <w:sz w:val="24"/>
                <w:szCs w:val="24"/>
                <w:highlight w:val="none"/>
                <w:lang w:val="en-US" w:eastAsia="zh-CN"/>
              </w:rPr>
              <w:t>3.涉及宽带全载波三相智能电度表的配电箱，需对该电表进行报价。</w:t>
            </w:r>
          </w:p>
          <w:p>
            <w:pPr>
              <w:numPr>
                <w:ilvl w:val="0"/>
                <w:numId w:val="0"/>
              </w:numPr>
              <w:adjustRightInd w:val="0"/>
              <w:snapToGrid w:val="0"/>
              <w:rPr>
                <w:rFonts w:hint="default" w:ascii="仿宋" w:hAnsi="仿宋" w:eastAsia="仿宋" w:cs="仿宋"/>
                <w:b/>
                <w:bCs/>
                <w:color w:val="auto"/>
                <w:sz w:val="24"/>
                <w:szCs w:val="24"/>
                <w:highlight w:val="none"/>
                <w:lang w:val="en-US" w:eastAsia="zh-CN"/>
              </w:rPr>
            </w:pPr>
            <w:r>
              <w:rPr>
                <w:rFonts w:hint="default" w:ascii="仿宋" w:hAnsi="仿宋" w:eastAsia="仿宋" w:cs="仿宋"/>
                <w:b/>
                <w:bCs/>
                <w:color w:val="auto"/>
                <w:sz w:val="24"/>
                <w:szCs w:val="24"/>
                <w:highlight w:val="none"/>
                <w:lang w:val="en-US" w:eastAsia="zh-CN"/>
              </w:rPr>
              <w:t>4.需提供元器件、箱体等报价明细，明细格式参照招标人提供格式。</w:t>
            </w:r>
          </w:p>
          <w:p>
            <w:pPr>
              <w:numPr>
                <w:ilvl w:val="0"/>
                <w:numId w:val="0"/>
              </w:numPr>
              <w:adjustRightInd w:val="0"/>
              <w:snapToGrid w:val="0"/>
              <w:rPr>
                <w:rFonts w:hint="default" w:ascii="仿宋" w:hAnsi="仿宋" w:eastAsia="仿宋" w:cs="仿宋"/>
                <w:b/>
                <w:bCs/>
                <w:color w:val="auto"/>
                <w:sz w:val="24"/>
                <w:szCs w:val="24"/>
                <w:highlight w:val="none"/>
                <w:lang w:val="en-US" w:eastAsia="zh-CN"/>
              </w:rPr>
            </w:pPr>
            <w:r>
              <w:rPr>
                <w:rFonts w:hint="default" w:ascii="仿宋" w:hAnsi="仿宋" w:eastAsia="仿宋" w:cs="仿宋"/>
                <w:b/>
                <w:bCs/>
                <w:color w:val="auto"/>
                <w:sz w:val="24"/>
                <w:szCs w:val="24"/>
                <w:highlight w:val="none"/>
                <w:lang w:val="en-US" w:eastAsia="zh-CN"/>
              </w:rPr>
              <w:t>5.不对人防配电箱临战安装的eps、ups电源进行报价。</w:t>
            </w:r>
          </w:p>
          <w:p>
            <w:pPr>
              <w:numPr>
                <w:ilvl w:val="0"/>
                <w:numId w:val="0"/>
              </w:numPr>
              <w:adjustRightInd w:val="0"/>
              <w:snapToGrid w:val="0"/>
              <w:rPr>
                <w:rFonts w:hint="default" w:ascii="仿宋" w:hAnsi="仿宋" w:eastAsia="仿宋" w:cs="仿宋"/>
                <w:b/>
                <w:bCs/>
                <w:color w:val="auto"/>
                <w:sz w:val="24"/>
                <w:szCs w:val="24"/>
                <w:highlight w:val="none"/>
                <w:lang w:val="en-US" w:eastAsia="zh-CN"/>
              </w:rPr>
            </w:pPr>
            <w:r>
              <w:rPr>
                <w:rFonts w:hint="default" w:ascii="仿宋" w:hAnsi="仿宋" w:eastAsia="仿宋" w:cs="仿宋"/>
                <w:b/>
                <w:bCs/>
                <w:color w:val="auto"/>
                <w:sz w:val="24"/>
                <w:szCs w:val="24"/>
                <w:highlight w:val="none"/>
                <w:lang w:val="en-US" w:eastAsia="zh-CN"/>
              </w:rPr>
              <w:t>6.限流式电气防火保护器需要报价。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10" w:type="dxa"/>
            <w:noWrap w:val="0"/>
            <w:vAlign w:val="center"/>
          </w:tcPr>
          <w:p>
            <w:pPr>
              <w:spacing w:line="500" w:lineRule="exact"/>
              <w:jc w:val="center"/>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lang w:val="en-US" w:eastAsia="zh-CN"/>
              </w:rPr>
              <w:t>资格条件</w:t>
            </w:r>
            <w:r>
              <w:rPr>
                <w:rFonts w:hint="eastAsia" w:ascii="仿宋" w:hAnsi="仿宋" w:eastAsia="仿宋" w:cs="仿宋"/>
                <w:b/>
                <w:bCs w:val="0"/>
                <w:color w:val="000000"/>
                <w:sz w:val="24"/>
                <w:szCs w:val="24"/>
              </w:rPr>
              <w:t>要求</w:t>
            </w:r>
          </w:p>
        </w:tc>
        <w:tc>
          <w:tcPr>
            <w:tcW w:w="9143" w:type="dxa"/>
            <w:gridSpan w:val="3"/>
            <w:noWrap w:val="0"/>
            <w:vAlign w:val="top"/>
          </w:tcPr>
          <w:p>
            <w:pPr>
              <w:numPr>
                <w:ilvl w:val="0"/>
                <w:numId w:val="0"/>
              </w:numPr>
              <w:spacing w:line="5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（一）资格要求</w:t>
            </w:r>
          </w:p>
          <w:p>
            <w:pPr>
              <w:spacing w:line="500" w:lineRule="exact"/>
              <w:jc w:val="left"/>
              <w:rPr>
                <w:rFonts w:hint="eastAsia" w:ascii="仿宋" w:hAnsi="仿宋" w:eastAsia="仿宋" w:cs="仿宋"/>
                <w:sz w:val="24"/>
                <w:szCs w:val="24"/>
                <w:lang w:eastAsia="zh-CN"/>
              </w:rPr>
            </w:pPr>
            <w:r>
              <w:rPr>
                <w:rFonts w:hint="eastAsia" w:ascii="仿宋" w:hAnsi="仿宋" w:eastAsia="仿宋" w:cs="仿宋"/>
                <w:sz w:val="24"/>
                <w:szCs w:val="24"/>
              </w:rPr>
              <w:t>（1）投标人应是经国家工商行政管理部门登记注册，并具有完成本项目供货能力的具有独立的法人资格并持有合法有效的营业执照</w:t>
            </w:r>
            <w:r>
              <w:rPr>
                <w:rFonts w:hint="eastAsia" w:ascii="仿宋" w:hAnsi="仿宋" w:eastAsia="仿宋" w:cs="仿宋"/>
                <w:sz w:val="24"/>
                <w:szCs w:val="24"/>
                <w:lang w:eastAsia="zh-CN"/>
              </w:rPr>
              <w:t>；</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（2）具有良好的商业信誉和健全的财务会计制度；</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（3）具有履行合同所必需的设备和专业技术能力；</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（4）有依法缴纳税收和社会保障资金的良好记录；</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（5）参加本次</w:t>
            </w:r>
            <w:r>
              <w:rPr>
                <w:rFonts w:hint="eastAsia" w:ascii="仿宋" w:hAnsi="仿宋" w:eastAsia="仿宋" w:cs="仿宋"/>
                <w:sz w:val="24"/>
                <w:szCs w:val="24"/>
                <w:lang w:eastAsia="zh-CN"/>
              </w:rPr>
              <w:t>竞争投标</w:t>
            </w:r>
            <w:r>
              <w:rPr>
                <w:rFonts w:hint="eastAsia" w:ascii="仿宋" w:hAnsi="仿宋" w:eastAsia="仿宋" w:cs="仿宋"/>
                <w:sz w:val="24"/>
                <w:szCs w:val="24"/>
              </w:rPr>
              <w:t>前三年内，在经营活动中没有重大违法记录；</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（6）法律、行政法规规定的其他条件。</w:t>
            </w:r>
          </w:p>
          <w:p>
            <w:pPr>
              <w:pStyle w:val="2"/>
              <w:jc w:val="left"/>
              <w:rPr>
                <w:rFonts w:hint="eastAsia"/>
                <w:lang w:val="en-US" w:eastAsia="zh-CN"/>
              </w:rPr>
            </w:pPr>
            <w:r>
              <w:rPr>
                <w:rFonts w:hint="eastAsia" w:ascii="仿宋" w:hAnsi="仿宋" w:eastAsia="仿宋" w:cs="仿宋"/>
                <w:sz w:val="24"/>
                <w:szCs w:val="24"/>
                <w:lang w:val="en-US" w:eastAsia="zh-CN"/>
              </w:rPr>
              <w:t>（7）本项目参加招投标活动的投标人在前三年内不得具有行贿犯罪记录。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910" w:type="dxa"/>
            <w:noWrap w:val="0"/>
            <w:vAlign w:val="top"/>
          </w:tcPr>
          <w:p>
            <w:pPr>
              <w:spacing w:line="500" w:lineRule="exact"/>
              <w:jc w:val="left"/>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挂网日期</w:t>
            </w:r>
          </w:p>
        </w:tc>
        <w:tc>
          <w:tcPr>
            <w:tcW w:w="9143" w:type="dxa"/>
            <w:gridSpan w:val="3"/>
            <w:noWrap w:val="0"/>
            <w:vAlign w:val="top"/>
          </w:tcPr>
          <w:p>
            <w:pPr>
              <w:spacing w:line="500" w:lineRule="exact"/>
              <w:jc w:val="left"/>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2024年5月27日—2024年6月5日 （北京时间）。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910" w:type="dxa"/>
            <w:noWrap w:val="0"/>
            <w:vAlign w:val="top"/>
          </w:tcPr>
          <w:p>
            <w:pPr>
              <w:spacing w:line="500" w:lineRule="exact"/>
              <w:jc w:val="center"/>
              <w:rPr>
                <w:rFonts w:hint="eastAsia" w:ascii="仿宋" w:hAnsi="仿宋" w:eastAsia="仿宋" w:cs="仿宋"/>
                <w:b/>
                <w:bCs w:val="0"/>
                <w:color w:val="000000"/>
                <w:sz w:val="24"/>
                <w:szCs w:val="24"/>
              </w:rPr>
            </w:pPr>
          </w:p>
          <w:p>
            <w:pPr>
              <w:spacing w:line="500" w:lineRule="exact"/>
              <w:jc w:val="center"/>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报价要求</w:t>
            </w:r>
          </w:p>
        </w:tc>
        <w:tc>
          <w:tcPr>
            <w:tcW w:w="9143" w:type="dxa"/>
            <w:gridSpan w:val="3"/>
            <w:noWrap w:val="0"/>
            <w:vAlign w:val="top"/>
          </w:tcPr>
          <w:p>
            <w:pPr>
              <w:numPr>
                <w:ilvl w:val="0"/>
                <w:numId w:val="0"/>
              </w:numPr>
              <w:shd w:val="clear"/>
              <w:snapToGrid/>
              <w:spacing w:before="0" w:beforeAutospacing="0" w:after="0" w:afterAutospacing="0" w:line="240" w:lineRule="auto"/>
              <w:jc w:val="both"/>
              <w:textAlignment w:val="baseline"/>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lang w:val="en-US" w:eastAsia="zh-CN"/>
              </w:rPr>
              <w:t>1、最高限价（含税）：</w:t>
            </w:r>
            <w:r>
              <w:rPr>
                <w:rFonts w:hint="eastAsia" w:ascii="仿宋" w:hAnsi="仿宋" w:eastAsia="仿宋" w:cs="仿宋"/>
                <w:b/>
                <w:bCs w:val="0"/>
                <w:color w:val="000000"/>
                <w:sz w:val="24"/>
                <w:szCs w:val="24"/>
                <w:u w:val="single"/>
                <w:lang w:val="en-US" w:eastAsia="zh-CN"/>
              </w:rPr>
              <w:t>1356000.00元</w:t>
            </w:r>
            <w:r>
              <w:rPr>
                <w:rFonts w:hint="eastAsia" w:ascii="仿宋" w:hAnsi="仿宋" w:eastAsia="仿宋" w:cs="仿宋"/>
                <w:b/>
                <w:bCs w:val="0"/>
                <w:color w:val="000000"/>
                <w:sz w:val="24"/>
                <w:szCs w:val="24"/>
                <w:u w:val="none"/>
                <w:lang w:val="en-US" w:eastAsia="zh-CN"/>
              </w:rPr>
              <w:t>。</w:t>
            </w:r>
            <w:r>
              <w:rPr>
                <w:rFonts w:hint="eastAsia" w:ascii="仿宋" w:hAnsi="仿宋" w:eastAsia="仿宋" w:cs="仿宋"/>
                <w:b w:val="0"/>
                <w:bCs/>
                <w:color w:val="000000"/>
                <w:sz w:val="24"/>
                <w:szCs w:val="24"/>
                <w:lang w:val="en-US" w:eastAsia="zh-CN"/>
              </w:rPr>
              <w:t>税率13%。竞价单位自主报价，投标报价不得超过最高限价。超过最高限价,其响应文件按无效处理。</w:t>
            </w:r>
          </w:p>
          <w:p>
            <w:pPr>
              <w:numPr>
                <w:ilvl w:val="0"/>
                <w:numId w:val="2"/>
              </w:numPr>
              <w:autoSpaceDE w:val="0"/>
              <w:autoSpaceDN w:val="0"/>
              <w:snapToGrid w:val="0"/>
              <w:spacing w:line="500" w:lineRule="exact"/>
              <w:ind w:left="0" w:leftChars="0" w:firstLine="0" w:firstLineChars="0"/>
              <w:rPr>
                <w:rFonts w:hint="eastAsia"/>
                <w:lang w:val="en-US" w:eastAsia="zh-CN"/>
              </w:rPr>
            </w:pPr>
            <w:r>
              <w:rPr>
                <w:rFonts w:hint="eastAsia" w:ascii="仿宋" w:hAnsi="仿宋" w:eastAsia="仿宋" w:cs="仿宋"/>
                <w:b w:val="0"/>
                <w:bCs/>
                <w:color w:val="000000"/>
                <w:sz w:val="24"/>
                <w:szCs w:val="24"/>
              </w:rPr>
              <w:t>报价必须按照</w:t>
            </w:r>
            <w:r>
              <w:rPr>
                <w:rFonts w:hint="eastAsia" w:ascii="仿宋" w:hAnsi="仿宋" w:eastAsia="仿宋" w:cs="仿宋"/>
                <w:b w:val="0"/>
                <w:bCs/>
                <w:color w:val="000000"/>
                <w:sz w:val="24"/>
                <w:szCs w:val="24"/>
                <w:lang w:val="en-US" w:eastAsia="zh-CN"/>
              </w:rPr>
              <w:t>采购人</w:t>
            </w:r>
            <w:r>
              <w:rPr>
                <w:rFonts w:hint="eastAsia" w:ascii="仿宋" w:hAnsi="仿宋" w:eastAsia="仿宋" w:cs="仿宋"/>
                <w:b w:val="0"/>
                <w:bCs/>
                <w:color w:val="000000"/>
                <w:sz w:val="24"/>
                <w:szCs w:val="24"/>
              </w:rPr>
              <w:t>提供的</w:t>
            </w:r>
            <w:r>
              <w:rPr>
                <w:rFonts w:hint="eastAsia" w:ascii="仿宋" w:hAnsi="仿宋" w:eastAsia="仿宋" w:cs="仿宋"/>
                <w:b w:val="0"/>
                <w:bCs/>
                <w:color w:val="000000"/>
                <w:sz w:val="24"/>
                <w:szCs w:val="24"/>
                <w:lang w:val="en-US" w:eastAsia="zh-CN"/>
              </w:rPr>
              <w:t>报价清单</w:t>
            </w:r>
            <w:r>
              <w:rPr>
                <w:rFonts w:hint="eastAsia" w:ascii="仿宋" w:hAnsi="仿宋" w:eastAsia="仿宋" w:cs="仿宋"/>
                <w:b w:val="0"/>
                <w:bCs/>
                <w:color w:val="000000"/>
                <w:sz w:val="24"/>
                <w:szCs w:val="24"/>
              </w:rPr>
              <w:t>及其附件要求报价，</w:t>
            </w:r>
            <w:r>
              <w:rPr>
                <w:rFonts w:hint="eastAsia" w:ascii="仿宋" w:hAnsi="仿宋" w:eastAsia="仿宋" w:cs="仿宋"/>
                <w:b w:val="0"/>
                <w:bCs/>
                <w:color w:val="000000"/>
                <w:sz w:val="24"/>
                <w:szCs w:val="24"/>
                <w:lang w:val="en-US" w:eastAsia="zh-CN"/>
              </w:rPr>
              <w:t>竞价</w:t>
            </w:r>
            <w:r>
              <w:rPr>
                <w:rFonts w:hint="eastAsia" w:ascii="仿宋" w:hAnsi="仿宋" w:eastAsia="仿宋" w:cs="仿宋"/>
                <w:b w:val="0"/>
                <w:bCs/>
                <w:color w:val="000000"/>
                <w:sz w:val="24"/>
                <w:szCs w:val="24"/>
              </w:rPr>
              <w:t>单位私自变更内容，甲方</w:t>
            </w:r>
            <w:r>
              <w:rPr>
                <w:rFonts w:hint="eastAsia" w:ascii="仿宋" w:hAnsi="仿宋" w:eastAsia="仿宋" w:cs="仿宋"/>
                <w:b w:val="0"/>
                <w:bCs/>
                <w:color w:val="000000"/>
                <w:sz w:val="24"/>
                <w:szCs w:val="24"/>
                <w:lang w:val="en-US" w:eastAsia="zh-CN"/>
              </w:rPr>
              <w:t>可</w:t>
            </w:r>
            <w:r>
              <w:rPr>
                <w:rFonts w:hint="eastAsia" w:ascii="仿宋" w:hAnsi="仿宋" w:eastAsia="仿宋" w:cs="仿宋"/>
                <w:b w:val="0"/>
                <w:bCs/>
                <w:color w:val="000000"/>
                <w:sz w:val="24"/>
                <w:szCs w:val="24"/>
              </w:rPr>
              <w:t>有权拒绝</w:t>
            </w:r>
            <w:r>
              <w:rPr>
                <w:rFonts w:hint="eastAsia" w:ascii="仿宋" w:hAnsi="仿宋" w:eastAsia="仿宋" w:cs="仿宋"/>
                <w:b w:val="0"/>
                <w:bCs/>
                <w:color w:val="000000"/>
                <w:sz w:val="24"/>
                <w:szCs w:val="24"/>
                <w:lang w:eastAsia="zh-CN"/>
              </w:rPr>
              <w:t>（</w:t>
            </w:r>
            <w:r>
              <w:rPr>
                <w:rFonts w:hint="eastAsia" w:ascii="仿宋" w:hAnsi="仿宋" w:eastAsia="仿宋" w:cs="仿宋"/>
                <w:b w:val="0"/>
                <w:bCs/>
                <w:color w:val="000000"/>
                <w:sz w:val="24"/>
                <w:szCs w:val="24"/>
                <w:lang w:val="en-US" w:eastAsia="zh-CN"/>
              </w:rPr>
              <w:t>甲方认可的除外</w:t>
            </w:r>
            <w:r>
              <w:rPr>
                <w:rFonts w:hint="eastAsia" w:ascii="仿宋" w:hAnsi="仿宋" w:eastAsia="仿宋" w:cs="仿宋"/>
                <w:b w:val="0"/>
                <w:bCs/>
                <w:color w:val="000000"/>
                <w:sz w:val="24"/>
                <w:szCs w:val="24"/>
                <w:lang w:eastAsia="zh-CN"/>
              </w:rPr>
              <w:t>）</w:t>
            </w:r>
            <w:r>
              <w:rPr>
                <w:rFonts w:hint="eastAsia" w:ascii="仿宋" w:hAnsi="仿宋" w:eastAsia="仿宋" w:cs="仿宋"/>
                <w:b w:val="0"/>
                <w:bCs/>
                <w:color w:val="000000"/>
                <w:sz w:val="24"/>
                <w:szCs w:val="24"/>
              </w:rPr>
              <w:t>。</w:t>
            </w:r>
          </w:p>
          <w:p>
            <w:pPr>
              <w:numPr>
                <w:ilvl w:val="0"/>
                <w:numId w:val="2"/>
              </w:numPr>
              <w:autoSpaceDE w:val="0"/>
              <w:autoSpaceDN w:val="0"/>
              <w:snapToGrid w:val="0"/>
              <w:spacing w:line="500" w:lineRule="exact"/>
              <w:ind w:left="0" w:leftChars="0" w:firstLine="0" w:firstLineChars="0"/>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报价时：小数点后须保留2位有效数字。</w:t>
            </w:r>
          </w:p>
          <w:p>
            <w:pPr>
              <w:pageBreakBefore w:val="0"/>
              <w:kinsoku/>
              <w:overflowPunct/>
              <w:topLinePunct w:val="0"/>
              <w:autoSpaceDE/>
              <w:autoSpaceDN/>
              <w:bidi w:val="0"/>
              <w:adjustRightInd/>
              <w:snapToGrid/>
              <w:spacing w:line="560" w:lineRule="exact"/>
              <w:jc w:val="both"/>
              <w:textAlignment w:val="auto"/>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auto"/>
                <w:sz w:val="36"/>
                <w:szCs w:val="36"/>
                <w:lang w:val="en-US" w:eastAsia="zh-CN"/>
              </w:rPr>
              <w:t>★</w:t>
            </w:r>
            <w:r>
              <w:rPr>
                <w:rFonts w:hint="eastAsia" w:ascii="仿宋" w:hAnsi="仿宋" w:eastAsia="仿宋" w:cs="仿宋"/>
                <w:b/>
                <w:bCs w:val="0"/>
                <w:color w:val="000000"/>
                <w:sz w:val="24"/>
                <w:szCs w:val="24"/>
                <w:lang w:val="en-US" w:eastAsia="zh-CN"/>
              </w:rPr>
              <w:t>注：本项目报价接受第二次报价方式（详见格式要求中报价清单（第二次）），</w:t>
            </w:r>
          </w:p>
          <w:p>
            <w:pPr>
              <w:pageBreakBefore w:val="0"/>
              <w:kinsoku/>
              <w:overflowPunct/>
              <w:topLinePunct w:val="0"/>
              <w:autoSpaceDE/>
              <w:autoSpaceDN/>
              <w:bidi w:val="0"/>
              <w:adjustRightInd/>
              <w:snapToGrid/>
              <w:spacing w:line="560" w:lineRule="exact"/>
              <w:jc w:val="both"/>
              <w:textAlignment w:val="auto"/>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第二次报价根据实际情况现场填写。</w:t>
            </w:r>
          </w:p>
          <w:p>
            <w:pPr>
              <w:pStyle w:val="8"/>
              <w:ind w:left="0" w:leftChars="0" w:firstLine="0" w:firstLineChars="0"/>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4、</w:t>
            </w:r>
            <w:r>
              <w:rPr>
                <w:rFonts w:hint="eastAsia" w:ascii="仿宋" w:hAnsi="仿宋" w:eastAsia="仿宋" w:cs="仿宋"/>
                <w:b w:val="0"/>
                <w:bCs/>
                <w:color w:val="000000"/>
                <w:kern w:val="2"/>
                <w:sz w:val="24"/>
                <w:szCs w:val="24"/>
                <w:lang w:val="en-US" w:eastAsia="zh-CN" w:bidi="ar-SA"/>
              </w:rPr>
              <w:t>第二次报价不能高于第一次报价。若高于第一次报价，本次投标按无效处理。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910" w:type="dxa"/>
            <w:noWrap w:val="0"/>
            <w:vAlign w:val="top"/>
          </w:tcPr>
          <w:p>
            <w:pPr>
              <w:spacing w:line="500" w:lineRule="exact"/>
              <w:jc w:val="center"/>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lang w:val="en-US" w:eastAsia="zh-CN"/>
              </w:rPr>
              <w:t>报价说明</w:t>
            </w:r>
          </w:p>
        </w:tc>
        <w:tc>
          <w:tcPr>
            <w:tcW w:w="9143" w:type="dxa"/>
            <w:gridSpan w:val="3"/>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 xml:space="preserve">1、 综合单价为材料到场固定含税单价，包含但不限于材料费、包装费、试验费、运杂费、管理费、利润、安全风险费用、服务费、上车费、垫资所需的资金占用利息费、售后服务费以及相关税费等抵达甲方指定地点的所有费用）。不论任何因素，在完成末次结算前，甲方除应付货款外，不需再支付其他费用。并开具增值税专用发票，税率13%。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2、响应文件中报价如果出现计算上或累加上的算术错误，可按以下原则进行修改：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（1）用数字表示的金额和用文字表示的金额不一致，应以文字表示的金额为准。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（2）单价和数量的乘积与总价不一致时，以单价为准，并修正总价。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（3）单价金额小数点有明显错误的，以总价为准，修正单价。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按上述修正错误的方法调整的报价应对竞价单位具有约束力。如果竞价单位不接受修正后的价格，其响应文件无效处理（即废标）。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rPr>
            </w:pPr>
            <w:r>
              <w:rPr>
                <w:rFonts w:hint="eastAsia" w:ascii="仿宋" w:hAnsi="仿宋" w:eastAsia="仿宋" w:cs="仿宋"/>
                <w:b w:val="0"/>
                <w:bCs/>
                <w:color w:val="000000"/>
                <w:sz w:val="24"/>
                <w:szCs w:val="24"/>
                <w:lang w:val="en-US" w:eastAsia="zh-CN"/>
              </w:rPr>
              <w:t>竞价单位确认采取书面且加盖单位公章或者竞价单位授权代表签字的方式。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910" w:type="dxa"/>
            <w:noWrap w:val="0"/>
            <w:vAlign w:val="top"/>
          </w:tcPr>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 xml:space="preserve">响应文件   </w:t>
            </w:r>
          </w:p>
          <w:p>
            <w:pPr>
              <w:spacing w:line="500" w:lineRule="exact"/>
              <w:jc w:val="center"/>
              <w:rPr>
                <w:rFonts w:hint="default"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制作要求</w:t>
            </w:r>
          </w:p>
        </w:tc>
        <w:tc>
          <w:tcPr>
            <w:tcW w:w="9143" w:type="dxa"/>
            <w:gridSpan w:val="3"/>
            <w:noWrap w:val="0"/>
            <w:vAlign w:val="top"/>
          </w:tcPr>
          <w:p>
            <w:pPr>
              <w:snapToGrid/>
              <w:spacing w:before="0" w:beforeAutospacing="0" w:after="0" w:afterAutospacing="0" w:line="240" w:lineRule="auto"/>
              <w:jc w:val="both"/>
              <w:textAlignment w:val="baseline"/>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lang w:val="en-US" w:eastAsia="zh-CN"/>
              </w:rPr>
              <w:t>竞价单位</w:t>
            </w:r>
            <w:r>
              <w:rPr>
                <w:rFonts w:hint="eastAsia" w:ascii="仿宋" w:hAnsi="仿宋" w:eastAsia="仿宋" w:cs="仿宋"/>
                <w:b/>
                <w:bCs w:val="0"/>
                <w:color w:val="000000"/>
                <w:sz w:val="24"/>
                <w:szCs w:val="24"/>
              </w:rPr>
              <w:t>提供的</w:t>
            </w:r>
            <w:r>
              <w:rPr>
                <w:rFonts w:hint="eastAsia" w:ascii="仿宋" w:hAnsi="仿宋" w:eastAsia="仿宋" w:cs="仿宋"/>
                <w:b/>
                <w:bCs w:val="0"/>
                <w:color w:val="000000"/>
                <w:sz w:val="24"/>
                <w:szCs w:val="24"/>
                <w:lang w:val="en-US" w:eastAsia="zh-CN"/>
              </w:rPr>
              <w:t>响应</w:t>
            </w:r>
            <w:r>
              <w:rPr>
                <w:rFonts w:hint="eastAsia" w:ascii="仿宋" w:hAnsi="仿宋" w:eastAsia="仿宋" w:cs="仿宋"/>
                <w:b/>
                <w:bCs w:val="0"/>
                <w:color w:val="000000"/>
                <w:sz w:val="24"/>
                <w:szCs w:val="24"/>
              </w:rPr>
              <w:t>文件包括：</w:t>
            </w:r>
          </w:p>
          <w:p>
            <w:pPr>
              <w:snapToGrid/>
              <w:spacing w:before="0" w:beforeAutospacing="0" w:after="0" w:afterAutospacing="0" w:line="240" w:lineRule="auto"/>
              <w:jc w:val="both"/>
              <w:textAlignment w:val="baseline"/>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w:t>
            </w:r>
            <w:r>
              <w:rPr>
                <w:rFonts w:hint="eastAsia" w:ascii="仿宋" w:hAnsi="仿宋" w:eastAsia="仿宋" w:cs="仿宋"/>
                <w:b/>
                <w:bCs w:val="0"/>
                <w:color w:val="000000"/>
                <w:sz w:val="24"/>
                <w:szCs w:val="24"/>
                <w:lang w:val="en-US" w:eastAsia="zh-CN"/>
              </w:rPr>
              <w:t>1</w:t>
            </w:r>
            <w:r>
              <w:rPr>
                <w:rFonts w:hint="eastAsia" w:ascii="仿宋" w:hAnsi="仿宋" w:eastAsia="仿宋" w:cs="仿宋"/>
                <w:b/>
                <w:bCs w:val="0"/>
                <w:color w:val="000000"/>
                <w:sz w:val="24"/>
                <w:szCs w:val="24"/>
              </w:rPr>
              <w:t>）</w:t>
            </w:r>
            <w:r>
              <w:rPr>
                <w:rFonts w:hint="eastAsia" w:ascii="仿宋" w:hAnsi="仿宋" w:eastAsia="仿宋" w:cs="仿宋"/>
                <w:b/>
                <w:bCs w:val="0"/>
                <w:color w:val="000000"/>
                <w:sz w:val="24"/>
                <w:szCs w:val="24"/>
                <w:lang w:val="en-US" w:eastAsia="zh-CN"/>
              </w:rPr>
              <w:t>响应</w:t>
            </w:r>
            <w:r>
              <w:rPr>
                <w:rFonts w:hint="eastAsia" w:ascii="仿宋" w:hAnsi="仿宋" w:eastAsia="仿宋" w:cs="仿宋"/>
                <w:b/>
                <w:bCs w:val="0"/>
                <w:color w:val="000000"/>
                <w:sz w:val="24"/>
                <w:szCs w:val="24"/>
              </w:rPr>
              <w:t>函</w:t>
            </w:r>
          </w:p>
          <w:p>
            <w:pPr>
              <w:snapToGrid/>
              <w:spacing w:before="0" w:beforeAutospacing="0" w:after="0" w:afterAutospacing="0" w:line="240" w:lineRule="auto"/>
              <w:jc w:val="both"/>
              <w:textAlignment w:val="baseline"/>
              <w:rPr>
                <w:rFonts w:hint="eastAsia" w:ascii="仿宋" w:hAnsi="仿宋" w:eastAsia="仿宋" w:cs="仿宋"/>
                <w:b/>
                <w:bCs w:val="0"/>
                <w:color w:val="000000"/>
                <w:sz w:val="24"/>
                <w:szCs w:val="24"/>
                <w:lang w:eastAsia="zh-CN"/>
              </w:rPr>
            </w:pPr>
            <w:r>
              <w:rPr>
                <w:rFonts w:hint="eastAsia" w:ascii="仿宋" w:hAnsi="仿宋" w:eastAsia="仿宋" w:cs="仿宋"/>
                <w:b/>
                <w:bCs w:val="0"/>
                <w:color w:val="000000"/>
                <w:sz w:val="24"/>
                <w:szCs w:val="24"/>
                <w:lang w:eastAsia="zh-CN"/>
              </w:rPr>
              <w:t>（</w:t>
            </w:r>
            <w:r>
              <w:rPr>
                <w:rFonts w:hint="eastAsia" w:ascii="仿宋" w:hAnsi="仿宋" w:eastAsia="仿宋" w:cs="仿宋"/>
                <w:b/>
                <w:bCs w:val="0"/>
                <w:color w:val="000000"/>
                <w:sz w:val="24"/>
                <w:szCs w:val="24"/>
                <w:lang w:val="en-US" w:eastAsia="zh-CN"/>
              </w:rPr>
              <w:t>2</w:t>
            </w:r>
            <w:r>
              <w:rPr>
                <w:rFonts w:hint="eastAsia" w:ascii="仿宋" w:hAnsi="仿宋" w:eastAsia="仿宋" w:cs="仿宋"/>
                <w:b/>
                <w:bCs w:val="0"/>
                <w:color w:val="000000"/>
                <w:sz w:val="24"/>
                <w:szCs w:val="24"/>
                <w:lang w:eastAsia="zh-CN"/>
              </w:rPr>
              <w:t>）</w:t>
            </w:r>
            <w:r>
              <w:rPr>
                <w:rFonts w:hint="eastAsia" w:ascii="仿宋" w:hAnsi="仿宋" w:eastAsia="仿宋" w:cs="仿宋"/>
                <w:b/>
                <w:bCs w:val="0"/>
                <w:color w:val="000000"/>
                <w:sz w:val="24"/>
                <w:szCs w:val="24"/>
                <w:lang w:val="en-US" w:eastAsia="zh-CN"/>
              </w:rPr>
              <w:t>营业执照</w:t>
            </w:r>
          </w:p>
          <w:p>
            <w:pPr>
              <w:snapToGrid/>
              <w:spacing w:before="0" w:beforeAutospacing="0" w:after="0" w:afterAutospacing="0" w:line="240" w:lineRule="auto"/>
              <w:jc w:val="both"/>
              <w:textAlignment w:val="baseline"/>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w:t>
            </w:r>
            <w:r>
              <w:rPr>
                <w:rFonts w:hint="eastAsia" w:ascii="仿宋" w:hAnsi="仿宋" w:eastAsia="仿宋" w:cs="仿宋"/>
                <w:b/>
                <w:bCs w:val="0"/>
                <w:color w:val="000000"/>
                <w:sz w:val="24"/>
                <w:szCs w:val="24"/>
                <w:lang w:val="en-US" w:eastAsia="zh-CN"/>
              </w:rPr>
              <w:t>3</w:t>
            </w:r>
            <w:r>
              <w:rPr>
                <w:rFonts w:hint="eastAsia" w:ascii="仿宋" w:hAnsi="仿宋" w:eastAsia="仿宋" w:cs="仿宋"/>
                <w:b/>
                <w:bCs w:val="0"/>
                <w:color w:val="000000"/>
                <w:sz w:val="24"/>
                <w:szCs w:val="24"/>
              </w:rPr>
              <w:t>）承诺函</w:t>
            </w:r>
          </w:p>
          <w:p>
            <w:pPr>
              <w:snapToGrid/>
              <w:spacing w:before="0" w:beforeAutospacing="0" w:after="0" w:afterAutospacing="0" w:line="240" w:lineRule="auto"/>
              <w:jc w:val="both"/>
              <w:textAlignment w:val="baseline"/>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w:t>
            </w:r>
            <w:r>
              <w:rPr>
                <w:rFonts w:hint="eastAsia" w:ascii="仿宋" w:hAnsi="仿宋" w:eastAsia="仿宋" w:cs="仿宋"/>
                <w:b/>
                <w:bCs w:val="0"/>
                <w:color w:val="000000"/>
                <w:sz w:val="24"/>
                <w:szCs w:val="24"/>
                <w:lang w:val="en-US" w:eastAsia="zh-CN"/>
              </w:rPr>
              <w:t>4</w:t>
            </w:r>
            <w:r>
              <w:rPr>
                <w:rFonts w:hint="eastAsia" w:ascii="仿宋" w:hAnsi="仿宋" w:eastAsia="仿宋" w:cs="仿宋"/>
                <w:b/>
                <w:bCs w:val="0"/>
                <w:color w:val="000000"/>
                <w:sz w:val="24"/>
                <w:szCs w:val="24"/>
              </w:rPr>
              <w:t>）法定代表人身份证明（适用于法定代表人竞价）</w:t>
            </w:r>
          </w:p>
          <w:p>
            <w:pPr>
              <w:snapToGrid/>
              <w:spacing w:before="0" w:beforeAutospacing="0" w:after="0" w:afterAutospacing="0" w:line="240" w:lineRule="auto"/>
              <w:jc w:val="both"/>
              <w:textAlignment w:val="baseline"/>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w:t>
            </w:r>
            <w:r>
              <w:rPr>
                <w:rFonts w:hint="eastAsia" w:ascii="仿宋" w:hAnsi="仿宋" w:eastAsia="仿宋" w:cs="仿宋"/>
                <w:b/>
                <w:bCs w:val="0"/>
                <w:color w:val="000000"/>
                <w:sz w:val="24"/>
                <w:szCs w:val="24"/>
                <w:lang w:val="en-US" w:eastAsia="zh-CN"/>
              </w:rPr>
              <w:t>5</w:t>
            </w:r>
            <w:r>
              <w:rPr>
                <w:rFonts w:hint="eastAsia" w:ascii="仿宋" w:hAnsi="仿宋" w:eastAsia="仿宋" w:cs="仿宋"/>
                <w:b/>
                <w:bCs w:val="0"/>
                <w:color w:val="000000"/>
                <w:sz w:val="24"/>
                <w:szCs w:val="24"/>
              </w:rPr>
              <w:t>）授权委托书</w:t>
            </w:r>
            <w:r>
              <w:rPr>
                <w:rFonts w:hint="eastAsia" w:ascii="仿宋" w:hAnsi="仿宋" w:eastAsia="仿宋" w:cs="仿宋"/>
                <w:b/>
                <w:bCs w:val="0"/>
                <w:color w:val="000000"/>
                <w:sz w:val="24"/>
                <w:szCs w:val="24"/>
                <w:lang w:eastAsia="zh-CN"/>
              </w:rPr>
              <w:t>（</w:t>
            </w:r>
            <w:r>
              <w:rPr>
                <w:rFonts w:hint="eastAsia" w:ascii="仿宋" w:hAnsi="仿宋" w:eastAsia="仿宋" w:cs="仿宋"/>
                <w:b/>
                <w:bCs w:val="0"/>
                <w:color w:val="000000"/>
                <w:sz w:val="24"/>
                <w:szCs w:val="24"/>
              </w:rPr>
              <w:t>适用于授权委托人竞价</w:t>
            </w:r>
            <w:r>
              <w:rPr>
                <w:rFonts w:hint="eastAsia" w:ascii="仿宋" w:hAnsi="仿宋" w:eastAsia="仿宋" w:cs="仿宋"/>
                <w:b/>
                <w:bCs w:val="0"/>
                <w:color w:val="000000"/>
                <w:sz w:val="24"/>
                <w:szCs w:val="24"/>
                <w:lang w:eastAsia="zh-CN"/>
              </w:rPr>
              <w:t>）</w:t>
            </w:r>
          </w:p>
          <w:p>
            <w:pPr>
              <w:snapToGrid/>
              <w:spacing w:before="0" w:beforeAutospacing="0" w:after="0" w:afterAutospacing="0" w:line="240" w:lineRule="auto"/>
              <w:jc w:val="both"/>
              <w:textAlignment w:val="baseline"/>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（6）报价清单（第一次）</w:t>
            </w:r>
          </w:p>
          <w:p>
            <w:pPr>
              <w:pStyle w:val="2"/>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（7）</w:t>
            </w:r>
            <w:r>
              <w:rPr>
                <w:rFonts w:hint="eastAsia" w:ascii="仿宋" w:hAnsi="仿宋" w:eastAsia="仿宋" w:cs="仿宋"/>
                <w:b/>
                <w:bCs w:val="0"/>
                <w:color w:val="000000"/>
                <w:kern w:val="2"/>
                <w:sz w:val="24"/>
                <w:szCs w:val="24"/>
                <w:lang w:val="en-US" w:eastAsia="zh-CN" w:bidi="ar-SA"/>
              </w:rPr>
              <w:t>信用信息报告</w:t>
            </w:r>
          </w:p>
          <w:p>
            <w:pPr>
              <w:snapToGrid/>
              <w:spacing w:before="0" w:beforeAutospacing="0" w:after="0" w:afterAutospacing="0" w:line="240" w:lineRule="auto"/>
              <w:jc w:val="both"/>
              <w:textAlignment w:val="baseline"/>
              <w:rPr>
                <w:rFonts w:hint="default"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（8）相关业绩证明（非实质性响应）</w:t>
            </w:r>
          </w:p>
          <w:p>
            <w:pP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上述组成附件均需加盖公司公章。</w:t>
            </w:r>
          </w:p>
          <w:p>
            <w:pP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auto"/>
                <w:sz w:val="36"/>
                <w:szCs w:val="36"/>
                <w:lang w:val="en-US" w:eastAsia="zh-CN"/>
              </w:rPr>
              <w:t>★</w:t>
            </w:r>
            <w:r>
              <w:rPr>
                <w:rFonts w:hint="eastAsia" w:ascii="仿宋" w:hAnsi="仿宋" w:eastAsia="仿宋" w:cs="仿宋"/>
                <w:b/>
                <w:bCs/>
                <w:sz w:val="28"/>
                <w:szCs w:val="28"/>
                <w:lang w:val="en-US" w:eastAsia="zh-CN"/>
              </w:rPr>
              <w:t xml:space="preserve">注：竞价单位须提供报价清单（第一次）（excel版本）。统一采用电子U盘。电子U盘须备注竞价单位名称。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1910" w:type="dxa"/>
            <w:noWrap w:val="0"/>
            <w:vAlign w:val="top"/>
          </w:tcPr>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 xml:space="preserve">响应文件  </w:t>
            </w:r>
          </w:p>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 xml:space="preserve"> 密封和标注</w:t>
            </w:r>
          </w:p>
        </w:tc>
        <w:tc>
          <w:tcPr>
            <w:tcW w:w="9143" w:type="dxa"/>
            <w:gridSpan w:val="3"/>
            <w:noWrap w:val="0"/>
            <w:vAlign w:val="top"/>
          </w:tcPr>
          <w:p>
            <w:pPr>
              <w:pStyle w:val="15"/>
              <w:numPr>
                <w:ilvl w:val="1"/>
                <w:numId w:val="0"/>
              </w:numPr>
              <w:ind w:leftChars="0"/>
              <w:rPr>
                <w:rFonts w:hint="eastAsia" w:ascii="仿宋" w:hAnsi="仿宋" w:eastAsia="仿宋" w:cs="仿宋"/>
                <w:b/>
                <w:bCs w:val="0"/>
                <w:color w:val="000000"/>
                <w:kern w:val="2"/>
                <w:sz w:val="24"/>
                <w:szCs w:val="24"/>
                <w:lang w:val="en-US" w:eastAsia="zh-CN" w:bidi="ar-SA"/>
              </w:rPr>
            </w:pPr>
            <w:r>
              <w:rPr>
                <w:rFonts w:hint="eastAsia" w:ascii="仿宋" w:hAnsi="仿宋" w:eastAsia="仿宋" w:cs="仿宋"/>
                <w:b/>
                <w:bCs w:val="0"/>
                <w:color w:val="000000"/>
                <w:kern w:val="2"/>
                <w:sz w:val="24"/>
                <w:szCs w:val="24"/>
                <w:lang w:val="en-US" w:eastAsia="zh-CN" w:bidi="ar-SA"/>
              </w:rPr>
              <w:t>（1）响应文件必须装订，不得散装或者合页装订。响应文件应根据采购人的要求制作，签署、盖章（每一页必须加盖公章），再行密封。</w:t>
            </w:r>
          </w:p>
          <w:p>
            <w:pPr>
              <w:pStyle w:val="15"/>
              <w:numPr>
                <w:ilvl w:val="1"/>
                <w:numId w:val="0"/>
              </w:numPr>
              <w:ind w:leftChars="0"/>
              <w:rPr>
                <w:rFonts w:hint="eastAsia" w:ascii="仿宋" w:hAnsi="仿宋" w:eastAsia="仿宋" w:cs="仿宋"/>
                <w:b/>
                <w:bCs w:val="0"/>
                <w:color w:val="000000"/>
                <w:kern w:val="2"/>
                <w:sz w:val="24"/>
                <w:szCs w:val="24"/>
                <w:lang w:val="en-US" w:eastAsia="zh-CN" w:bidi="ar-SA"/>
              </w:rPr>
            </w:pPr>
            <w:r>
              <w:rPr>
                <w:rFonts w:hint="eastAsia" w:ascii="仿宋" w:hAnsi="仿宋" w:eastAsia="仿宋" w:cs="仿宋"/>
                <w:b/>
                <w:bCs w:val="0"/>
                <w:color w:val="000000"/>
                <w:kern w:val="2"/>
                <w:sz w:val="24"/>
                <w:szCs w:val="24"/>
                <w:lang w:val="en-US" w:eastAsia="zh-CN" w:bidi="ar-SA"/>
              </w:rPr>
              <w:t>（2）</w:t>
            </w:r>
            <w:r>
              <w:rPr>
                <w:rFonts w:hint="eastAsia" w:ascii="仿宋" w:hAnsi="仿宋" w:eastAsia="仿宋" w:cs="仿宋"/>
                <w:b/>
                <w:bCs/>
                <w:sz w:val="24"/>
                <w:szCs w:val="24"/>
                <w:lang w:val="en-US" w:eastAsia="zh-CN"/>
              </w:rPr>
              <w:t>电子</w:t>
            </w:r>
            <w:r>
              <w:rPr>
                <w:rFonts w:hint="eastAsia" w:ascii="仿宋" w:hAnsi="仿宋" w:eastAsia="仿宋" w:cs="仿宋"/>
                <w:b/>
                <w:bCs w:val="0"/>
                <w:color w:val="000000"/>
                <w:kern w:val="2"/>
                <w:sz w:val="24"/>
                <w:szCs w:val="24"/>
                <w:lang w:val="en-US" w:eastAsia="zh-CN" w:bidi="ar-SA"/>
              </w:rPr>
              <w:t>U盘一并密封在响应文件中。</w:t>
            </w:r>
          </w:p>
          <w:p>
            <w:pP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kern w:val="2"/>
                <w:sz w:val="24"/>
                <w:szCs w:val="24"/>
                <w:lang w:val="en-US" w:eastAsia="zh-CN" w:bidi="ar-SA"/>
              </w:rPr>
              <w:t>（3）未按以上要求进行编制、签署的响应文件，采购人将拒收或作废标处理。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10" w:type="dxa"/>
            <w:noWrap w:val="0"/>
            <w:vAlign w:val="top"/>
          </w:tcPr>
          <w:p>
            <w:pPr>
              <w:keepNext w:val="0"/>
              <w:keepLines w:val="0"/>
              <w:widowControl/>
              <w:suppressLineNumbers w:val="0"/>
              <w:jc w:val="left"/>
              <w:rPr>
                <w:rFonts w:hint="eastAsia" w:ascii="仿宋" w:hAnsi="仿宋" w:eastAsia="仿宋" w:cs="仿宋"/>
                <w:b/>
                <w:bCs w:val="0"/>
                <w:color w:val="000000"/>
                <w:sz w:val="24"/>
                <w:szCs w:val="24"/>
                <w:lang w:val="en-US" w:eastAsia="zh-CN"/>
              </w:rPr>
            </w:pPr>
          </w:p>
          <w:p>
            <w:pPr>
              <w:keepNext w:val="0"/>
              <w:keepLines w:val="0"/>
              <w:widowControl/>
              <w:suppressLineNumbers w:val="0"/>
              <w:jc w:val="left"/>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中标确认方式</w:t>
            </w:r>
          </w:p>
        </w:tc>
        <w:tc>
          <w:tcPr>
            <w:tcW w:w="9143" w:type="dxa"/>
            <w:gridSpan w:val="3"/>
            <w:noWrap w:val="0"/>
            <w:vAlign w:val="top"/>
          </w:tcPr>
          <w:p>
            <w:pPr>
              <w:rPr>
                <w:rFonts w:hint="eastAsia" w:ascii="仿宋" w:hAnsi="仿宋" w:eastAsia="仿宋" w:cs="仿宋"/>
                <w:b/>
                <w:bCs w:val="0"/>
                <w:color w:val="000000"/>
                <w:sz w:val="24"/>
                <w:szCs w:val="24"/>
                <w:lang w:val="en-US" w:eastAsia="zh-CN"/>
              </w:rPr>
            </w:pPr>
            <w:r>
              <w:rPr>
                <w:rFonts w:hint="eastAsia" w:ascii="仿宋" w:hAnsi="仿宋" w:eastAsia="仿宋" w:cs="仿宋"/>
                <w:b w:val="0"/>
                <w:bCs/>
                <w:color w:val="000000"/>
                <w:sz w:val="24"/>
                <w:szCs w:val="24"/>
                <w:lang w:val="en-US" w:eastAsia="zh-CN"/>
              </w:rPr>
              <w:t>1、本项目采用经评审的最低投标价法。按竞价单位的报价进行评审，评审结果以合理经济性的原则，推荐不超过</w:t>
            </w:r>
            <w:r>
              <w:rPr>
                <w:rFonts w:hint="eastAsia" w:ascii="仿宋" w:hAnsi="仿宋" w:eastAsia="仿宋" w:cs="仿宋"/>
                <w:b w:val="0"/>
                <w:bCs/>
                <w:color w:val="000000"/>
                <w:sz w:val="24"/>
                <w:szCs w:val="24"/>
                <w:highlight w:val="none"/>
                <w:lang w:val="en-US" w:eastAsia="zh-CN"/>
              </w:rPr>
              <w:t>3名（含3名）</w:t>
            </w:r>
            <w:r>
              <w:rPr>
                <w:rFonts w:hint="eastAsia" w:ascii="仿宋" w:hAnsi="仿宋" w:eastAsia="仿宋" w:cs="仿宋"/>
                <w:b w:val="0"/>
                <w:bCs/>
                <w:color w:val="000000"/>
                <w:sz w:val="24"/>
                <w:szCs w:val="24"/>
                <w:lang w:val="en-US" w:eastAsia="zh-CN"/>
              </w:rPr>
              <w:t>的中标候选人并出具评审报告。采购人在评审小组推荐的中标候选人名单中确定中标单位，达到优质采购的目的。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10" w:type="dxa"/>
            <w:noWrap w:val="0"/>
            <w:vAlign w:val="top"/>
          </w:tcPr>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变更及漏项新增单价原则</w:t>
            </w:r>
          </w:p>
        </w:tc>
        <w:tc>
          <w:tcPr>
            <w:tcW w:w="9143" w:type="dxa"/>
            <w:gridSpan w:val="3"/>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1、供货金额以实际供货、验收合格的</w:t>
            </w:r>
            <w:bookmarkStart w:id="0" w:name="_GoBack"/>
            <w:bookmarkEnd w:id="0"/>
            <w:r>
              <w:rPr>
                <w:rFonts w:hint="eastAsia" w:ascii="仿宋" w:hAnsi="仿宋" w:eastAsia="仿宋" w:cs="仿宋"/>
                <w:b w:val="0"/>
                <w:bCs/>
                <w:color w:val="000000"/>
                <w:sz w:val="24"/>
                <w:szCs w:val="24"/>
                <w:lang w:val="en-US" w:eastAsia="zh-CN"/>
              </w:rPr>
              <w:t>数量为准。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10" w:type="dxa"/>
            <w:noWrap w:val="0"/>
            <w:vAlign w:val="top"/>
          </w:tcPr>
          <w:p>
            <w:pPr>
              <w:spacing w:line="500" w:lineRule="exact"/>
              <w:ind w:left="241" w:hanging="241" w:hangingChars="100"/>
              <w:jc w:val="center"/>
              <w:rPr>
                <w:rFonts w:hint="default"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响应文件</w:t>
            </w:r>
          </w:p>
          <w:p>
            <w:pPr>
              <w:spacing w:line="500" w:lineRule="exact"/>
              <w:ind w:left="241" w:hanging="241" w:hangingChars="100"/>
              <w:jc w:val="center"/>
              <w:rPr>
                <w:rFonts w:hint="default"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递交</w:t>
            </w:r>
            <w:r>
              <w:rPr>
                <w:rFonts w:hint="eastAsia" w:ascii="仿宋" w:hAnsi="仿宋" w:eastAsia="仿宋" w:cs="仿宋"/>
                <w:b/>
                <w:bCs w:val="0"/>
                <w:color w:val="000000"/>
                <w:sz w:val="24"/>
                <w:szCs w:val="24"/>
              </w:rPr>
              <w:t>时间</w:t>
            </w:r>
            <w:r>
              <w:rPr>
                <w:rFonts w:hint="eastAsia" w:ascii="仿宋" w:hAnsi="仿宋" w:eastAsia="仿宋" w:cs="仿宋"/>
                <w:b/>
                <w:bCs w:val="0"/>
                <w:color w:val="000000"/>
                <w:sz w:val="24"/>
                <w:szCs w:val="24"/>
                <w:lang w:eastAsia="zh-CN"/>
              </w:rPr>
              <w:t>、</w:t>
            </w:r>
            <w:r>
              <w:rPr>
                <w:rFonts w:hint="eastAsia" w:ascii="仿宋" w:hAnsi="仿宋" w:eastAsia="仿宋" w:cs="仿宋"/>
                <w:b/>
                <w:bCs w:val="0"/>
                <w:color w:val="000000"/>
                <w:sz w:val="24"/>
                <w:szCs w:val="24"/>
                <w:lang w:val="en-US" w:eastAsia="zh-CN"/>
              </w:rPr>
              <w:t xml:space="preserve"> 地点</w:t>
            </w:r>
          </w:p>
        </w:tc>
        <w:tc>
          <w:tcPr>
            <w:tcW w:w="9143" w:type="dxa"/>
            <w:gridSpan w:val="3"/>
            <w:noWrap w:val="0"/>
            <w:vAlign w:val="top"/>
          </w:tcPr>
          <w:p>
            <w:pPr>
              <w:numPr>
                <w:ilvl w:val="0"/>
                <w:numId w:val="0"/>
              </w:numPr>
              <w:jc w:val="left"/>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★1、本次竞价方式：</w:t>
            </w:r>
            <w:r>
              <w:rPr>
                <w:rFonts w:hint="eastAsia" w:ascii="仿宋" w:hAnsi="仿宋" w:eastAsia="仿宋" w:cs="仿宋"/>
                <w:b/>
                <w:bCs w:val="0"/>
                <w:color w:val="auto"/>
                <w:sz w:val="24"/>
                <w:szCs w:val="24"/>
                <w:u w:val="single"/>
                <w:lang w:val="en-US" w:eastAsia="zh-CN"/>
              </w:rPr>
              <w:t>现场竞价</w:t>
            </w:r>
            <w:r>
              <w:rPr>
                <w:rFonts w:hint="eastAsia" w:ascii="仿宋" w:hAnsi="仿宋" w:eastAsia="仿宋" w:cs="仿宋"/>
                <w:b/>
                <w:bCs w:val="0"/>
                <w:color w:val="auto"/>
                <w:sz w:val="24"/>
                <w:szCs w:val="24"/>
                <w:lang w:val="en-US" w:eastAsia="zh-CN"/>
              </w:rPr>
              <w:t>。</w:t>
            </w:r>
          </w:p>
          <w:p>
            <w:pPr>
              <w:numPr>
                <w:ilvl w:val="0"/>
                <w:numId w:val="0"/>
              </w:numPr>
              <w:jc w:val="left"/>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2、响应文件</w:t>
            </w:r>
            <w:r>
              <w:rPr>
                <w:rFonts w:hint="eastAsia" w:ascii="仿宋" w:hAnsi="仿宋" w:eastAsia="仿宋" w:cs="仿宋"/>
                <w:b w:val="0"/>
                <w:bCs/>
                <w:color w:val="auto"/>
                <w:sz w:val="24"/>
                <w:szCs w:val="24"/>
              </w:rPr>
              <w:t>递交</w:t>
            </w:r>
            <w:r>
              <w:rPr>
                <w:rFonts w:hint="eastAsia" w:ascii="仿宋" w:hAnsi="仿宋" w:eastAsia="仿宋" w:cs="仿宋"/>
                <w:b w:val="0"/>
                <w:bCs/>
                <w:color w:val="auto"/>
                <w:sz w:val="24"/>
                <w:szCs w:val="24"/>
                <w:lang w:val="en-US" w:eastAsia="zh-CN"/>
              </w:rPr>
              <w:t>截止</w:t>
            </w:r>
            <w:r>
              <w:rPr>
                <w:rFonts w:hint="eastAsia" w:ascii="仿宋" w:hAnsi="仿宋" w:eastAsia="仿宋" w:cs="仿宋"/>
                <w:b w:val="0"/>
                <w:bCs/>
                <w:color w:val="auto"/>
                <w:sz w:val="24"/>
                <w:szCs w:val="24"/>
              </w:rPr>
              <w:t>时间</w:t>
            </w:r>
            <w:r>
              <w:rPr>
                <w:rFonts w:hint="eastAsia" w:ascii="仿宋" w:hAnsi="仿宋" w:eastAsia="仿宋" w:cs="仿宋"/>
                <w:b w:val="0"/>
                <w:bCs/>
                <w:color w:val="auto"/>
                <w:sz w:val="24"/>
                <w:szCs w:val="24"/>
                <w:lang w:eastAsia="zh-CN"/>
              </w:rPr>
              <w:t>：</w:t>
            </w:r>
            <w:r>
              <w:rPr>
                <w:rFonts w:hint="eastAsia" w:ascii="仿宋" w:hAnsi="仿宋" w:eastAsia="仿宋" w:cs="仿宋"/>
                <w:b/>
                <w:bCs w:val="0"/>
                <w:color w:val="auto"/>
                <w:sz w:val="24"/>
                <w:szCs w:val="24"/>
                <w:u w:val="single"/>
                <w:lang w:val="en-US" w:eastAsia="zh-CN"/>
              </w:rPr>
              <w:t>2024</w:t>
            </w:r>
            <w:r>
              <w:rPr>
                <w:rFonts w:hint="eastAsia" w:ascii="仿宋" w:hAnsi="仿宋" w:eastAsia="仿宋" w:cs="仿宋"/>
                <w:b/>
                <w:bCs w:val="0"/>
                <w:color w:val="auto"/>
                <w:sz w:val="24"/>
                <w:szCs w:val="24"/>
                <w:lang w:val="en-US" w:eastAsia="zh-CN"/>
              </w:rPr>
              <w:t>年</w:t>
            </w:r>
            <w:r>
              <w:rPr>
                <w:rFonts w:hint="eastAsia" w:ascii="仿宋" w:hAnsi="仿宋" w:eastAsia="仿宋" w:cs="仿宋"/>
                <w:b/>
                <w:bCs w:val="0"/>
                <w:color w:val="auto"/>
                <w:sz w:val="24"/>
                <w:szCs w:val="24"/>
                <w:u w:val="single"/>
                <w:lang w:val="en-US" w:eastAsia="zh-CN"/>
              </w:rPr>
              <w:t>6</w:t>
            </w:r>
            <w:r>
              <w:rPr>
                <w:rFonts w:hint="eastAsia" w:ascii="仿宋" w:hAnsi="仿宋" w:eastAsia="仿宋" w:cs="仿宋"/>
                <w:b/>
                <w:bCs w:val="0"/>
                <w:color w:val="auto"/>
                <w:sz w:val="24"/>
                <w:szCs w:val="24"/>
                <w:lang w:val="en-US" w:eastAsia="zh-CN"/>
              </w:rPr>
              <w:t>月</w:t>
            </w:r>
            <w:r>
              <w:rPr>
                <w:rFonts w:hint="eastAsia" w:ascii="仿宋" w:hAnsi="仿宋" w:eastAsia="仿宋" w:cs="仿宋"/>
                <w:b/>
                <w:bCs w:val="0"/>
                <w:color w:val="auto"/>
                <w:sz w:val="24"/>
                <w:szCs w:val="24"/>
                <w:u w:val="single"/>
                <w:lang w:val="en-US" w:eastAsia="zh-CN"/>
              </w:rPr>
              <w:t>5</w:t>
            </w:r>
            <w:r>
              <w:rPr>
                <w:rFonts w:hint="eastAsia" w:ascii="仿宋" w:hAnsi="仿宋" w:eastAsia="仿宋" w:cs="仿宋"/>
                <w:b/>
                <w:bCs w:val="0"/>
                <w:color w:val="auto"/>
                <w:sz w:val="24"/>
                <w:szCs w:val="24"/>
                <w:lang w:val="en-US" w:eastAsia="zh-CN"/>
              </w:rPr>
              <w:t>日</w:t>
            </w:r>
            <w:r>
              <w:rPr>
                <w:rFonts w:hint="eastAsia" w:ascii="仿宋" w:hAnsi="仿宋" w:eastAsia="仿宋" w:cs="仿宋"/>
                <w:b/>
                <w:bCs w:val="0"/>
                <w:color w:val="auto"/>
                <w:sz w:val="24"/>
                <w:szCs w:val="24"/>
                <w:u w:val="single"/>
                <w:lang w:val="en-US" w:eastAsia="zh-CN"/>
              </w:rPr>
              <w:t>15</w:t>
            </w:r>
            <w:r>
              <w:rPr>
                <w:rFonts w:hint="eastAsia" w:ascii="仿宋" w:hAnsi="仿宋" w:eastAsia="仿宋" w:cs="仿宋"/>
                <w:b/>
                <w:bCs w:val="0"/>
                <w:color w:val="auto"/>
                <w:sz w:val="24"/>
                <w:szCs w:val="24"/>
                <w:u w:val="none"/>
                <w:lang w:val="en-US" w:eastAsia="zh-CN"/>
              </w:rPr>
              <w:t>时</w:t>
            </w:r>
            <w:r>
              <w:rPr>
                <w:rFonts w:hint="eastAsia" w:ascii="仿宋" w:hAnsi="仿宋" w:eastAsia="仿宋" w:cs="仿宋"/>
                <w:b/>
                <w:bCs w:val="0"/>
                <w:color w:val="auto"/>
                <w:sz w:val="24"/>
                <w:szCs w:val="24"/>
                <w:u w:val="single"/>
                <w:lang w:val="en-US" w:eastAsia="zh-CN"/>
              </w:rPr>
              <w:t>00</w:t>
            </w:r>
            <w:r>
              <w:rPr>
                <w:rFonts w:hint="eastAsia" w:ascii="仿宋" w:hAnsi="仿宋" w:eastAsia="仿宋" w:cs="仿宋"/>
                <w:b/>
                <w:bCs w:val="0"/>
                <w:color w:val="auto"/>
                <w:sz w:val="24"/>
                <w:szCs w:val="24"/>
                <w:u w:val="none"/>
                <w:lang w:val="en-US" w:eastAsia="zh-CN"/>
              </w:rPr>
              <w:t>分</w:t>
            </w:r>
            <w:r>
              <w:rPr>
                <w:rFonts w:hint="eastAsia" w:ascii="仿宋" w:hAnsi="仿宋" w:eastAsia="仿宋" w:cs="仿宋"/>
                <w:b/>
                <w:bCs w:val="0"/>
                <w:color w:val="auto"/>
                <w:sz w:val="24"/>
                <w:szCs w:val="24"/>
              </w:rPr>
              <w:t>（北京时间）</w:t>
            </w:r>
            <w:r>
              <w:rPr>
                <w:rFonts w:hint="eastAsia" w:ascii="仿宋" w:hAnsi="仿宋" w:eastAsia="仿宋" w:cs="仿宋"/>
                <w:b w:val="0"/>
                <w:bCs/>
                <w:color w:val="auto"/>
                <w:sz w:val="24"/>
                <w:szCs w:val="24"/>
                <w:lang w:val="en-US" w:eastAsia="zh-CN"/>
              </w:rPr>
              <w:t xml:space="preserve">。 </w:t>
            </w:r>
          </w:p>
          <w:p>
            <w:pPr>
              <w:numPr>
                <w:ilvl w:val="0"/>
                <w:numId w:val="0"/>
              </w:numPr>
              <w:jc w:val="left"/>
              <w:rPr>
                <w:rFonts w:hint="default" w:ascii="仿宋" w:hAnsi="仿宋" w:eastAsia="仿宋" w:cs="仿宋"/>
                <w:b w:val="0"/>
                <w:bCs/>
                <w:color w:val="000000"/>
                <w:sz w:val="24"/>
                <w:szCs w:val="24"/>
                <w:lang w:val="en-US" w:eastAsia="zh-CN"/>
              </w:rPr>
            </w:pPr>
            <w:r>
              <w:rPr>
                <w:rFonts w:hint="eastAsia" w:ascii="仿宋" w:hAnsi="仿宋" w:eastAsia="仿宋" w:cs="仿宋"/>
                <w:b/>
                <w:bCs w:val="0"/>
                <w:color w:val="auto"/>
                <w:sz w:val="24"/>
                <w:szCs w:val="24"/>
                <w:lang w:val="en-US" w:eastAsia="zh-CN"/>
              </w:rPr>
              <w:t>3、响应文件递交地点：雅安城投供应链有限公司（雅安市雨城区北环东路100号）    二楼党群活动室。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910" w:type="dxa"/>
            <w:noWrap w:val="0"/>
            <w:vAlign w:val="top"/>
          </w:tcPr>
          <w:p>
            <w:pPr>
              <w:spacing w:line="500" w:lineRule="exact"/>
              <w:jc w:val="center"/>
              <w:rPr>
                <w:rFonts w:hint="eastAsia" w:ascii="仿宋" w:hAnsi="仿宋" w:eastAsia="仿宋" w:cs="仿宋"/>
                <w:b/>
                <w:bCs w:val="0"/>
                <w:color w:val="000000"/>
                <w:sz w:val="24"/>
                <w:szCs w:val="24"/>
                <w:lang w:val="en-US" w:eastAsia="zh-CN"/>
              </w:rPr>
            </w:pPr>
          </w:p>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付款方式</w:t>
            </w:r>
          </w:p>
        </w:tc>
        <w:tc>
          <w:tcPr>
            <w:tcW w:w="9143" w:type="dxa"/>
            <w:gridSpan w:val="3"/>
            <w:noWrap w:val="0"/>
            <w:vAlign w:val="top"/>
          </w:tcPr>
          <w:p>
            <w:pPr>
              <w:numPr>
                <w:ilvl w:val="0"/>
                <w:numId w:val="3"/>
              </w:numPr>
              <w:rPr>
                <w:rFonts w:hint="default" w:ascii="仿宋" w:hAnsi="仿宋" w:eastAsia="仿宋" w:cs="仿宋"/>
                <w:b/>
                <w:bCs w:val="0"/>
                <w:color w:val="auto"/>
                <w:sz w:val="24"/>
                <w:szCs w:val="24"/>
                <w:u w:val="none"/>
                <w:lang w:val="en-US" w:eastAsia="zh-CN"/>
              </w:rPr>
            </w:pPr>
            <w:r>
              <w:rPr>
                <w:rFonts w:hint="eastAsia" w:ascii="仿宋" w:hAnsi="仿宋" w:eastAsia="仿宋" w:cs="仿宋"/>
                <w:b/>
                <w:bCs w:val="0"/>
                <w:color w:val="auto"/>
                <w:sz w:val="24"/>
                <w:szCs w:val="24"/>
                <w:lang w:val="en-US" w:eastAsia="zh-CN"/>
              </w:rPr>
              <w:t>付款方式：</w:t>
            </w:r>
            <w:r>
              <w:rPr>
                <w:rFonts w:hint="eastAsia" w:ascii="仿宋" w:hAnsi="仿宋" w:eastAsia="仿宋" w:cs="仿宋"/>
                <w:b/>
                <w:bCs w:val="0"/>
                <w:color w:val="auto"/>
                <w:sz w:val="24"/>
                <w:szCs w:val="24"/>
                <w:u w:val="none"/>
                <w:lang w:val="en-US" w:eastAsia="zh-CN"/>
              </w:rPr>
              <w:t>按月付款。</w:t>
            </w:r>
          </w:p>
          <w:p>
            <w:pPr>
              <w:numPr>
                <w:ilvl w:val="0"/>
                <w:numId w:val="0"/>
              </w:numPr>
              <w:jc w:val="left"/>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2、甲乙双方约定每月20号至25号核对上月20号至本月19号的供货量并办理结算（经双方验收合格并共同签字确认、按合同约定提供所有有效结算票据、乙方开具结算金额核对无误的供货量100%发票），甲方于办理结算后的10日内结清应付货款的97%，剩余3%作为质保金。质保期2年。（质保金可用银行独立保证保函进行替换，银行独立保证保函可为中标人基本账户开户行出具，也可为项目所在地“四大银行”（中国工商银行、中国农业银行、中国银行、中国建设银行）出具）</w:t>
            </w:r>
          </w:p>
          <w:p>
            <w:pPr>
              <w:numPr>
                <w:ilvl w:val="0"/>
                <w:numId w:val="0"/>
              </w:numPr>
              <w:jc w:val="left"/>
              <w:rPr>
                <w:rFonts w:hint="default"/>
                <w:lang w:val="en-US" w:eastAsia="zh-CN"/>
              </w:rPr>
            </w:pPr>
            <w:r>
              <w:rPr>
                <w:rFonts w:hint="eastAsia" w:ascii="仿宋" w:hAnsi="仿宋" w:eastAsia="仿宋" w:cs="仿宋"/>
                <w:b/>
                <w:bCs w:val="0"/>
                <w:color w:val="auto"/>
                <w:sz w:val="24"/>
                <w:szCs w:val="24"/>
                <w:lang w:val="en-US" w:eastAsia="zh-CN"/>
              </w:rPr>
              <w:t>3、出具银行保函即可不留质保金。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10" w:type="dxa"/>
            <w:noWrap w:val="0"/>
            <w:vAlign w:val="top"/>
          </w:tcPr>
          <w:p>
            <w:pPr>
              <w:spacing w:line="500" w:lineRule="exact"/>
              <w:jc w:val="center"/>
              <w:rPr>
                <w:rFonts w:hint="default"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支付方式</w:t>
            </w:r>
          </w:p>
        </w:tc>
        <w:tc>
          <w:tcPr>
            <w:tcW w:w="9143" w:type="dxa"/>
            <w:gridSpan w:val="3"/>
            <w:noWrap w:val="0"/>
            <w:vAlign w:val="top"/>
          </w:tcPr>
          <w:p>
            <w:pPr>
              <w:pStyle w:val="2"/>
              <w:rPr>
                <w:rFonts w:hint="default"/>
                <w:lang w:val="en-US" w:eastAsia="zh-CN"/>
              </w:rPr>
            </w:pPr>
            <w:r>
              <w:rPr>
                <w:rFonts w:hint="eastAsia" w:ascii="仿宋" w:hAnsi="仿宋" w:eastAsia="仿宋" w:cs="仿宋"/>
                <w:b/>
                <w:bCs w:val="0"/>
                <w:color w:val="auto"/>
                <w:sz w:val="24"/>
                <w:szCs w:val="24"/>
                <w:lang w:val="en-US" w:eastAsia="zh-CN"/>
              </w:rPr>
              <w:t>1、支付方式：银行转账等。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910" w:type="dxa"/>
            <w:noWrap w:val="0"/>
            <w:vAlign w:val="top"/>
          </w:tcPr>
          <w:p>
            <w:pPr>
              <w:spacing w:line="500" w:lineRule="exact"/>
              <w:jc w:val="center"/>
              <w:rPr>
                <w:rFonts w:hint="default"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合同签订</w:t>
            </w:r>
          </w:p>
        </w:tc>
        <w:tc>
          <w:tcPr>
            <w:tcW w:w="9143" w:type="dxa"/>
            <w:gridSpan w:val="3"/>
            <w:noWrap w:val="0"/>
            <w:vAlign w:val="top"/>
          </w:tcPr>
          <w:p>
            <w:pPr>
              <w:spacing w:line="500" w:lineRule="exact"/>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中标单位在收到采购人发出的《中标通知书》后，应在规定的时间内与采购人签订采购合同。由于中标单位的原因逾期未与采购人签订采购合同的，将视为放弃中标，取消其中标资格并将按相关规定进行处理。</w:t>
            </w:r>
          </w:p>
          <w:p>
            <w:pPr>
              <w:spacing w:line="500" w:lineRule="exact"/>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2、采购人不得向中标单位提出任何不合理的要求，作为签订合同的条件，不得与中标单位私下订立背离合同实质性内容的任何协议，所签订的合同不得对竞价函和中标单位响应文件作实质性修改。</w:t>
            </w:r>
          </w:p>
          <w:p>
            <w:pPr>
              <w:pageBreakBefore w:val="0"/>
              <w:kinsoku/>
              <w:overflowPunct/>
              <w:topLinePunct w:val="0"/>
              <w:autoSpaceDE/>
              <w:autoSpaceDN/>
              <w:bidi w:val="0"/>
              <w:spacing w:line="560" w:lineRule="exact"/>
              <w:rPr>
                <w:rFonts w:hint="eastAsia" w:ascii="仿宋" w:hAnsi="仿宋" w:eastAsia="仿宋" w:cs="仿宋"/>
                <w:b/>
                <w:bCs w:val="0"/>
                <w:color w:val="auto"/>
                <w:sz w:val="24"/>
                <w:szCs w:val="24"/>
                <w:lang w:val="en-US" w:eastAsia="zh-CN"/>
              </w:rPr>
            </w:pPr>
            <w:r>
              <w:rPr>
                <w:rFonts w:hint="eastAsia" w:ascii="仿宋" w:hAnsi="仿宋" w:eastAsia="仿宋" w:cs="仿宋"/>
                <w:b w:val="0"/>
                <w:bCs/>
                <w:color w:val="000000"/>
                <w:sz w:val="24"/>
                <w:szCs w:val="24"/>
                <w:lang w:val="en-US" w:eastAsia="zh-CN"/>
              </w:rPr>
              <w:t>3、中标单位因不可抗力原因不能履行采购合同或放弃中标的，采购人可以与排在中标人之后第一位的中标候选人签订采购合同，以此类推。也可以选择重新采购。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910" w:type="dxa"/>
            <w:noWrap w:val="0"/>
            <w:vAlign w:val="center"/>
          </w:tcPr>
          <w:p>
            <w:pPr>
              <w:spacing w:line="500" w:lineRule="exact"/>
              <w:jc w:val="center"/>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廉洁要求</w:t>
            </w:r>
          </w:p>
        </w:tc>
        <w:tc>
          <w:tcPr>
            <w:tcW w:w="9143" w:type="dxa"/>
            <w:gridSpan w:val="3"/>
            <w:noWrap w:val="0"/>
            <w:vAlign w:val="top"/>
          </w:tcPr>
          <w:p>
            <w:pPr>
              <w:spacing w:line="500" w:lineRule="exac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要求供应商公开、公平、公正参与本次采购（报价、采购），过程如有围标、串标、陪标、行贿、等行为发生，雅安城投</w:t>
            </w:r>
            <w:r>
              <w:rPr>
                <w:rFonts w:hint="eastAsia" w:ascii="仿宋" w:hAnsi="仿宋" w:eastAsia="仿宋" w:cs="仿宋"/>
                <w:b w:val="0"/>
                <w:bCs/>
                <w:color w:val="000000"/>
                <w:sz w:val="24"/>
                <w:szCs w:val="24"/>
                <w:lang w:val="en-US" w:eastAsia="zh-CN"/>
              </w:rPr>
              <w:t>供应链</w:t>
            </w:r>
            <w:r>
              <w:rPr>
                <w:rFonts w:hint="eastAsia" w:ascii="仿宋" w:hAnsi="仿宋" w:eastAsia="仿宋" w:cs="仿宋"/>
                <w:b w:val="0"/>
                <w:bCs/>
                <w:color w:val="000000"/>
                <w:sz w:val="24"/>
                <w:szCs w:val="24"/>
              </w:rPr>
              <w:t>有限公司将按照下列规定处理供应商：</w:t>
            </w:r>
          </w:p>
          <w:p>
            <w:pPr>
              <w:spacing w:line="500" w:lineRule="exac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（1）已中</w:t>
            </w:r>
            <w:r>
              <w:rPr>
                <w:rFonts w:hint="eastAsia" w:ascii="仿宋" w:hAnsi="仿宋" w:eastAsia="仿宋" w:cs="仿宋"/>
                <w:b w:val="0"/>
                <w:bCs/>
                <w:color w:val="000000"/>
                <w:sz w:val="24"/>
                <w:szCs w:val="24"/>
                <w:lang w:val="en-US" w:eastAsia="zh-CN"/>
              </w:rPr>
              <w:t>标</w:t>
            </w:r>
            <w:r>
              <w:rPr>
                <w:rFonts w:hint="eastAsia" w:ascii="仿宋" w:hAnsi="仿宋" w:eastAsia="仿宋" w:cs="仿宋"/>
                <w:b w:val="0"/>
                <w:bCs/>
                <w:color w:val="000000"/>
                <w:sz w:val="24"/>
                <w:szCs w:val="24"/>
              </w:rPr>
              <w:t>的，中</w:t>
            </w:r>
            <w:r>
              <w:rPr>
                <w:rFonts w:hint="eastAsia" w:ascii="仿宋" w:hAnsi="仿宋" w:eastAsia="仿宋" w:cs="仿宋"/>
                <w:b w:val="0"/>
                <w:bCs/>
                <w:color w:val="000000"/>
                <w:sz w:val="24"/>
                <w:szCs w:val="24"/>
                <w:lang w:val="en-US" w:eastAsia="zh-CN"/>
              </w:rPr>
              <w:t>标</w:t>
            </w:r>
            <w:r>
              <w:rPr>
                <w:rFonts w:hint="eastAsia" w:ascii="仿宋" w:hAnsi="仿宋" w:eastAsia="仿宋" w:cs="仿宋"/>
                <w:b w:val="0"/>
                <w:bCs/>
                <w:color w:val="000000"/>
                <w:sz w:val="24"/>
                <w:szCs w:val="24"/>
              </w:rPr>
              <w:t>无效，并没收相关保证金（如有）。已签订合同的，雅安城投</w:t>
            </w:r>
            <w:r>
              <w:rPr>
                <w:rFonts w:hint="eastAsia" w:ascii="仿宋" w:hAnsi="仿宋" w:eastAsia="仿宋" w:cs="仿宋"/>
                <w:b w:val="0"/>
                <w:bCs/>
                <w:color w:val="000000"/>
                <w:sz w:val="24"/>
                <w:szCs w:val="24"/>
                <w:lang w:val="en-US" w:eastAsia="zh-CN"/>
              </w:rPr>
              <w:t>供应链</w:t>
            </w:r>
            <w:r>
              <w:rPr>
                <w:rFonts w:hint="eastAsia" w:ascii="仿宋" w:hAnsi="仿宋" w:eastAsia="仿宋" w:cs="仿宋"/>
                <w:b w:val="0"/>
                <w:bCs/>
                <w:color w:val="000000"/>
                <w:sz w:val="24"/>
                <w:szCs w:val="24"/>
              </w:rPr>
              <w:t>有限公司有权解除合同，并没收相关保证金（如有），还需按合同其他约定承担导致合同终止的违约责任，同时雅安城投</w:t>
            </w:r>
            <w:r>
              <w:rPr>
                <w:rFonts w:hint="eastAsia" w:ascii="仿宋" w:hAnsi="仿宋" w:eastAsia="仿宋" w:cs="仿宋"/>
                <w:b w:val="0"/>
                <w:bCs/>
                <w:color w:val="000000"/>
                <w:sz w:val="24"/>
                <w:szCs w:val="24"/>
                <w:lang w:val="en-US" w:eastAsia="zh-CN"/>
              </w:rPr>
              <w:t>供应链</w:t>
            </w:r>
            <w:r>
              <w:rPr>
                <w:rFonts w:hint="eastAsia" w:ascii="仿宋" w:hAnsi="仿宋" w:eastAsia="仿宋" w:cs="仿宋"/>
                <w:b w:val="0"/>
                <w:bCs/>
                <w:color w:val="000000"/>
                <w:sz w:val="24"/>
                <w:szCs w:val="24"/>
              </w:rPr>
              <w:t>有限公司可对违规方单位采取必要措施（包括暂停支付与我司相关合作项目的所有应付账款，或通过司法途径向供方追偿由此造成雅安城投</w:t>
            </w:r>
            <w:r>
              <w:rPr>
                <w:rFonts w:hint="eastAsia" w:ascii="仿宋" w:hAnsi="仿宋" w:eastAsia="仿宋" w:cs="仿宋"/>
                <w:b w:val="0"/>
                <w:bCs/>
                <w:color w:val="000000"/>
                <w:sz w:val="24"/>
                <w:szCs w:val="24"/>
                <w:lang w:val="en-US" w:eastAsia="zh-CN"/>
              </w:rPr>
              <w:t>供应链</w:t>
            </w:r>
            <w:r>
              <w:rPr>
                <w:rFonts w:hint="eastAsia" w:ascii="仿宋" w:hAnsi="仿宋" w:eastAsia="仿宋" w:cs="仿宋"/>
                <w:b w:val="0"/>
                <w:bCs/>
                <w:color w:val="000000"/>
                <w:sz w:val="24"/>
                <w:szCs w:val="24"/>
              </w:rPr>
              <w:t>有限公司的一切经济及商业损失）。</w:t>
            </w:r>
          </w:p>
          <w:p>
            <w:pPr>
              <w:spacing w:line="500" w:lineRule="exac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（2）雅安城投</w:t>
            </w:r>
            <w:r>
              <w:rPr>
                <w:rFonts w:hint="eastAsia" w:ascii="仿宋" w:hAnsi="仿宋" w:eastAsia="仿宋" w:cs="仿宋"/>
                <w:b w:val="0"/>
                <w:bCs/>
                <w:color w:val="000000"/>
                <w:sz w:val="24"/>
                <w:szCs w:val="24"/>
                <w:lang w:val="en-US" w:eastAsia="zh-CN"/>
              </w:rPr>
              <w:t>供应链</w:t>
            </w:r>
            <w:r>
              <w:rPr>
                <w:rFonts w:hint="eastAsia" w:ascii="仿宋" w:hAnsi="仿宋" w:eastAsia="仿宋" w:cs="仿宋"/>
                <w:b w:val="0"/>
                <w:bCs/>
                <w:color w:val="000000"/>
                <w:sz w:val="24"/>
                <w:szCs w:val="24"/>
              </w:rPr>
              <w:t>有限公司有权可通过诉讼方式向违规供方主张权利。</w:t>
            </w:r>
          </w:p>
          <w:p>
            <w:pPr>
              <w:spacing w:line="500" w:lineRule="exac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（3）雅安城投</w:t>
            </w:r>
            <w:r>
              <w:rPr>
                <w:rFonts w:hint="eastAsia" w:ascii="仿宋" w:hAnsi="仿宋" w:eastAsia="仿宋" w:cs="仿宋"/>
                <w:b w:val="0"/>
                <w:bCs/>
                <w:color w:val="000000"/>
                <w:sz w:val="24"/>
                <w:szCs w:val="24"/>
                <w:lang w:val="en-US" w:eastAsia="zh-CN"/>
              </w:rPr>
              <w:t>供应链</w:t>
            </w:r>
            <w:r>
              <w:rPr>
                <w:rFonts w:hint="eastAsia" w:ascii="仿宋" w:hAnsi="仿宋" w:eastAsia="仿宋" w:cs="仿宋"/>
                <w:b w:val="0"/>
                <w:bCs/>
                <w:color w:val="000000"/>
                <w:sz w:val="24"/>
                <w:szCs w:val="24"/>
              </w:rPr>
              <w:t>有限公司有权将违规单位列入雅安城投公司的</w:t>
            </w:r>
            <w:r>
              <w:rPr>
                <w:rFonts w:hint="eastAsia" w:ascii="仿宋" w:hAnsi="仿宋" w:eastAsia="仿宋" w:cs="仿宋"/>
                <w:b w:val="0"/>
                <w:bCs/>
                <w:color w:val="000000"/>
                <w:sz w:val="24"/>
                <w:szCs w:val="24"/>
                <w:lang w:val="en-US" w:eastAsia="zh-CN"/>
              </w:rPr>
              <w:t>不良供应商</w:t>
            </w:r>
            <w:r>
              <w:rPr>
                <w:rFonts w:hint="eastAsia" w:ascii="仿宋" w:hAnsi="仿宋" w:eastAsia="仿宋" w:cs="仿宋"/>
                <w:b w:val="0"/>
                <w:bCs/>
                <w:color w:val="000000"/>
                <w:sz w:val="24"/>
                <w:szCs w:val="24"/>
              </w:rPr>
              <w:t>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910" w:type="dxa"/>
            <w:noWrap w:val="0"/>
            <w:vAlign w:val="center"/>
          </w:tcPr>
          <w:p>
            <w:pPr>
              <w:spacing w:line="500" w:lineRule="exact"/>
              <w:jc w:val="center"/>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lang w:val="en-US" w:eastAsia="zh-CN"/>
              </w:rPr>
              <w:t>利害关系     供应商处理</w:t>
            </w:r>
          </w:p>
        </w:tc>
        <w:tc>
          <w:tcPr>
            <w:tcW w:w="9143" w:type="dxa"/>
            <w:gridSpan w:val="3"/>
            <w:noWrap w:val="0"/>
            <w:vAlign w:val="top"/>
          </w:tcPr>
          <w:p>
            <w:pPr>
              <w:spacing w:line="500" w:lineRule="exac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lang w:val="en-US" w:eastAsia="zh-CN"/>
              </w:rPr>
              <w:t>单位负责人为同一人或者存在直接控股、管理关系的不同供应商不得参加同一合同下的采购项目。否则，其响应文件作为无效处理。</w:t>
            </w:r>
          </w:p>
        </w:tc>
      </w:tr>
    </w:tbl>
    <w:p>
      <w:pPr>
        <w:jc w:val="both"/>
        <w:outlineLvl w:val="1"/>
        <w:rPr>
          <w:rFonts w:hint="eastAsia" w:ascii="仿宋" w:hAnsi="仿宋" w:eastAsia="仿宋" w:cs="仿宋"/>
          <w:color w:val="000000"/>
          <w:sz w:val="24"/>
          <w:szCs w:val="24"/>
        </w:rPr>
      </w:pPr>
    </w:p>
    <w:sectPr>
      <w:headerReference r:id="rId3" w:type="default"/>
      <w:footerReference r:id="rId4" w:type="default"/>
      <w:footnotePr>
        <w:pos w:val="beneathText"/>
      </w:footnotePr>
      <w:pgSz w:w="11905" w:h="16837"/>
      <w:pgMar w:top="1332" w:right="1361" w:bottom="1332" w:left="136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w:t>
    </w:r>
    <w:r>
      <w:rPr>
        <w:rFonts w:ascii="宋体" w:hAnsi="宋体"/>
        <w:kern w:val="0"/>
        <w:szCs w:val="21"/>
      </w:rPr>
      <w:fldChar w:fldCharType="end"/>
    </w:r>
    <w:r>
      <w:rPr>
        <w:rFonts w:hint="eastAsia" w:ascii="宋体" w:hAnsi="宋体"/>
        <w:kern w:val="0"/>
        <w:szCs w:val="21"/>
      </w:rPr>
      <w:t xml:space="preserve"> 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tabs>
          <w:tab w:val="left" w:pos="420"/>
        </w:tabs>
        <w:ind w:left="430" w:hanging="430"/>
      </w:pPr>
      <w:rPr>
        <w:rFonts w:hint="eastAsia"/>
      </w:rPr>
    </w:lvl>
    <w:lvl w:ilvl="1" w:tentative="0">
      <w:start w:val="1"/>
      <w:numFmt w:val="decimal"/>
      <w:pStyle w:val="15"/>
      <w:lvlText w:val="%1.%2"/>
      <w:lvlJc w:val="left"/>
      <w:pPr>
        <w:tabs>
          <w:tab w:val="left" w:pos="842"/>
        </w:tabs>
        <w:ind w:left="842" w:hanging="700"/>
      </w:pPr>
      <w:rPr>
        <w:rFonts w:hint="eastAsia"/>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1">
    <w:nsid w:val="135C8049"/>
    <w:multiLevelType w:val="singleLevel"/>
    <w:tmpl w:val="135C8049"/>
    <w:lvl w:ilvl="0" w:tentative="0">
      <w:start w:val="1"/>
      <w:numFmt w:val="decimal"/>
      <w:suff w:val="nothing"/>
      <w:lvlText w:val="%1、"/>
      <w:lvlJc w:val="left"/>
    </w:lvl>
  </w:abstractNum>
  <w:abstractNum w:abstractNumId="2">
    <w:nsid w:val="2D70F5E9"/>
    <w:multiLevelType w:val="singleLevel"/>
    <w:tmpl w:val="2D70F5E9"/>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pos w:val="beneathText"/>
  </w:foot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2MzBlZDhlYWNkNTU2NTcxY2QwN2NmMDM4NGI1NzYifQ=="/>
  </w:docVars>
  <w:rsids>
    <w:rsidRoot w:val="00000000"/>
    <w:rsid w:val="00475304"/>
    <w:rsid w:val="0083050D"/>
    <w:rsid w:val="00844285"/>
    <w:rsid w:val="008C4773"/>
    <w:rsid w:val="00A55301"/>
    <w:rsid w:val="00CA7EEA"/>
    <w:rsid w:val="00FF0B6A"/>
    <w:rsid w:val="017354BE"/>
    <w:rsid w:val="01831488"/>
    <w:rsid w:val="01DD59FB"/>
    <w:rsid w:val="020735E1"/>
    <w:rsid w:val="021C139C"/>
    <w:rsid w:val="0246284B"/>
    <w:rsid w:val="02921645"/>
    <w:rsid w:val="02B70580"/>
    <w:rsid w:val="02BF340E"/>
    <w:rsid w:val="030D350D"/>
    <w:rsid w:val="03215A31"/>
    <w:rsid w:val="03233F98"/>
    <w:rsid w:val="035D3297"/>
    <w:rsid w:val="038A7E04"/>
    <w:rsid w:val="03B504A3"/>
    <w:rsid w:val="041F054D"/>
    <w:rsid w:val="045E1BB5"/>
    <w:rsid w:val="047425B6"/>
    <w:rsid w:val="049F5EA2"/>
    <w:rsid w:val="04CE3D21"/>
    <w:rsid w:val="04E15802"/>
    <w:rsid w:val="04F15CAC"/>
    <w:rsid w:val="05052822"/>
    <w:rsid w:val="05114EDC"/>
    <w:rsid w:val="05126090"/>
    <w:rsid w:val="05253B7D"/>
    <w:rsid w:val="0544022B"/>
    <w:rsid w:val="05D45367"/>
    <w:rsid w:val="0650130C"/>
    <w:rsid w:val="06796A2D"/>
    <w:rsid w:val="069F33E9"/>
    <w:rsid w:val="06A80318"/>
    <w:rsid w:val="06BC02D5"/>
    <w:rsid w:val="06C70D2A"/>
    <w:rsid w:val="071B07B5"/>
    <w:rsid w:val="073267E9"/>
    <w:rsid w:val="076C72BA"/>
    <w:rsid w:val="07702E6D"/>
    <w:rsid w:val="07933443"/>
    <w:rsid w:val="08036534"/>
    <w:rsid w:val="0826621F"/>
    <w:rsid w:val="085F33CA"/>
    <w:rsid w:val="09886330"/>
    <w:rsid w:val="0A002AF6"/>
    <w:rsid w:val="0A0633F8"/>
    <w:rsid w:val="0A526E6E"/>
    <w:rsid w:val="0A6E493C"/>
    <w:rsid w:val="0B01399E"/>
    <w:rsid w:val="0B174AE8"/>
    <w:rsid w:val="0B1B2F10"/>
    <w:rsid w:val="0B220922"/>
    <w:rsid w:val="0B5B1AAE"/>
    <w:rsid w:val="0B647BA1"/>
    <w:rsid w:val="0B966410"/>
    <w:rsid w:val="0BC22757"/>
    <w:rsid w:val="0BC358B3"/>
    <w:rsid w:val="0C0C0C7F"/>
    <w:rsid w:val="0CE51C08"/>
    <w:rsid w:val="0D204675"/>
    <w:rsid w:val="0D3761E6"/>
    <w:rsid w:val="0D4265AA"/>
    <w:rsid w:val="0D737F1F"/>
    <w:rsid w:val="0DB25F8E"/>
    <w:rsid w:val="0DEC4366"/>
    <w:rsid w:val="0E744C83"/>
    <w:rsid w:val="0EA53794"/>
    <w:rsid w:val="0EB86015"/>
    <w:rsid w:val="0ECA158C"/>
    <w:rsid w:val="0EE04D7C"/>
    <w:rsid w:val="0F0A6D3C"/>
    <w:rsid w:val="0F564A4F"/>
    <w:rsid w:val="10620F9A"/>
    <w:rsid w:val="10994EC9"/>
    <w:rsid w:val="11371515"/>
    <w:rsid w:val="113F0EDA"/>
    <w:rsid w:val="11965BC6"/>
    <w:rsid w:val="11CC653F"/>
    <w:rsid w:val="11EA026F"/>
    <w:rsid w:val="11EC57E6"/>
    <w:rsid w:val="121511E1"/>
    <w:rsid w:val="12324728"/>
    <w:rsid w:val="126B20EE"/>
    <w:rsid w:val="13021765"/>
    <w:rsid w:val="136968E1"/>
    <w:rsid w:val="137633C1"/>
    <w:rsid w:val="13AE0697"/>
    <w:rsid w:val="13C12E43"/>
    <w:rsid w:val="13C51E0C"/>
    <w:rsid w:val="140E7C96"/>
    <w:rsid w:val="147F0B94"/>
    <w:rsid w:val="14DC1911"/>
    <w:rsid w:val="14E44553"/>
    <w:rsid w:val="158F246E"/>
    <w:rsid w:val="15A83398"/>
    <w:rsid w:val="165D4F05"/>
    <w:rsid w:val="16620F50"/>
    <w:rsid w:val="1686640D"/>
    <w:rsid w:val="16DD5993"/>
    <w:rsid w:val="17126D66"/>
    <w:rsid w:val="1720040C"/>
    <w:rsid w:val="174B5395"/>
    <w:rsid w:val="1763654B"/>
    <w:rsid w:val="176D19FF"/>
    <w:rsid w:val="177570BB"/>
    <w:rsid w:val="179E57D5"/>
    <w:rsid w:val="17D85D90"/>
    <w:rsid w:val="17F84A4C"/>
    <w:rsid w:val="18534811"/>
    <w:rsid w:val="18546479"/>
    <w:rsid w:val="18675F4B"/>
    <w:rsid w:val="188C65D3"/>
    <w:rsid w:val="18A03075"/>
    <w:rsid w:val="18AD12D5"/>
    <w:rsid w:val="18FE5B38"/>
    <w:rsid w:val="19532B19"/>
    <w:rsid w:val="19C534ED"/>
    <w:rsid w:val="19E9247F"/>
    <w:rsid w:val="1A314705"/>
    <w:rsid w:val="1A37660E"/>
    <w:rsid w:val="1A626F8D"/>
    <w:rsid w:val="1A7673FE"/>
    <w:rsid w:val="1A845156"/>
    <w:rsid w:val="1ACF330A"/>
    <w:rsid w:val="1AE0625F"/>
    <w:rsid w:val="1B096967"/>
    <w:rsid w:val="1B0A3EAC"/>
    <w:rsid w:val="1BAF4E0B"/>
    <w:rsid w:val="1BE76355"/>
    <w:rsid w:val="1C243C3B"/>
    <w:rsid w:val="1C384E5A"/>
    <w:rsid w:val="1C9B0240"/>
    <w:rsid w:val="1C9C2643"/>
    <w:rsid w:val="1CE32D75"/>
    <w:rsid w:val="1D0C28B4"/>
    <w:rsid w:val="1D0E5DB7"/>
    <w:rsid w:val="1D4A019B"/>
    <w:rsid w:val="1DC510B2"/>
    <w:rsid w:val="1DDB32DF"/>
    <w:rsid w:val="1E6C66F7"/>
    <w:rsid w:val="1F51312D"/>
    <w:rsid w:val="1F5A6FB2"/>
    <w:rsid w:val="1F6D6B9B"/>
    <w:rsid w:val="1F9600A2"/>
    <w:rsid w:val="1FD74FD0"/>
    <w:rsid w:val="200A7EAB"/>
    <w:rsid w:val="201B383C"/>
    <w:rsid w:val="2031215C"/>
    <w:rsid w:val="207C25DC"/>
    <w:rsid w:val="20D14264"/>
    <w:rsid w:val="20EA2C10"/>
    <w:rsid w:val="20EA738C"/>
    <w:rsid w:val="20F14799"/>
    <w:rsid w:val="21160882"/>
    <w:rsid w:val="21472397"/>
    <w:rsid w:val="216B497A"/>
    <w:rsid w:val="21AD1BF7"/>
    <w:rsid w:val="21DA4716"/>
    <w:rsid w:val="21E0264C"/>
    <w:rsid w:val="21FF09D5"/>
    <w:rsid w:val="223A29D9"/>
    <w:rsid w:val="22467649"/>
    <w:rsid w:val="22653833"/>
    <w:rsid w:val="22B175FF"/>
    <w:rsid w:val="22EE0D5B"/>
    <w:rsid w:val="23D20CE0"/>
    <w:rsid w:val="23E634F2"/>
    <w:rsid w:val="2423153B"/>
    <w:rsid w:val="24BE74B6"/>
    <w:rsid w:val="24C7636B"/>
    <w:rsid w:val="253F062B"/>
    <w:rsid w:val="25C0407C"/>
    <w:rsid w:val="25D303E8"/>
    <w:rsid w:val="25E441BB"/>
    <w:rsid w:val="25E677DB"/>
    <w:rsid w:val="267C2231"/>
    <w:rsid w:val="26962DDB"/>
    <w:rsid w:val="26A11396"/>
    <w:rsid w:val="2701248A"/>
    <w:rsid w:val="271D04C4"/>
    <w:rsid w:val="273F7D71"/>
    <w:rsid w:val="27554102"/>
    <w:rsid w:val="27A11A00"/>
    <w:rsid w:val="27A32A9C"/>
    <w:rsid w:val="27BF5A1F"/>
    <w:rsid w:val="27C97CD5"/>
    <w:rsid w:val="287F42D0"/>
    <w:rsid w:val="28D7460F"/>
    <w:rsid w:val="28FE5FB3"/>
    <w:rsid w:val="293B0F4D"/>
    <w:rsid w:val="2948144B"/>
    <w:rsid w:val="296B15FF"/>
    <w:rsid w:val="29772E93"/>
    <w:rsid w:val="299F384F"/>
    <w:rsid w:val="29BB3FC4"/>
    <w:rsid w:val="29C95561"/>
    <w:rsid w:val="29E9242B"/>
    <w:rsid w:val="2A1928DB"/>
    <w:rsid w:val="2A1A5F20"/>
    <w:rsid w:val="2A7D127A"/>
    <w:rsid w:val="2A9E10F7"/>
    <w:rsid w:val="2ACE6CC8"/>
    <w:rsid w:val="2B275DB5"/>
    <w:rsid w:val="2B523154"/>
    <w:rsid w:val="2B7B2CD7"/>
    <w:rsid w:val="2BFC773A"/>
    <w:rsid w:val="2C732BFC"/>
    <w:rsid w:val="2C7A1B9F"/>
    <w:rsid w:val="2CBC5838"/>
    <w:rsid w:val="2CF72E55"/>
    <w:rsid w:val="2D154F28"/>
    <w:rsid w:val="2D3F3249"/>
    <w:rsid w:val="2D5C441A"/>
    <w:rsid w:val="2D73499D"/>
    <w:rsid w:val="2D7F4BB7"/>
    <w:rsid w:val="2E0979F4"/>
    <w:rsid w:val="2E0B3C17"/>
    <w:rsid w:val="2F340201"/>
    <w:rsid w:val="2F475B9D"/>
    <w:rsid w:val="2F8C268B"/>
    <w:rsid w:val="2F912AF0"/>
    <w:rsid w:val="2FC32F68"/>
    <w:rsid w:val="301A79AB"/>
    <w:rsid w:val="30217FCA"/>
    <w:rsid w:val="30347DA4"/>
    <w:rsid w:val="30AA4608"/>
    <w:rsid w:val="30AE1C6C"/>
    <w:rsid w:val="30D71134"/>
    <w:rsid w:val="30EA07CC"/>
    <w:rsid w:val="30FD526E"/>
    <w:rsid w:val="311567A1"/>
    <w:rsid w:val="31216728"/>
    <w:rsid w:val="317177AC"/>
    <w:rsid w:val="31A43590"/>
    <w:rsid w:val="31A812D2"/>
    <w:rsid w:val="32A4684C"/>
    <w:rsid w:val="32C41357"/>
    <w:rsid w:val="32C71C2C"/>
    <w:rsid w:val="32D379FB"/>
    <w:rsid w:val="32DB3574"/>
    <w:rsid w:val="331039D5"/>
    <w:rsid w:val="335334BF"/>
    <w:rsid w:val="33835B53"/>
    <w:rsid w:val="33F507CF"/>
    <w:rsid w:val="345B087E"/>
    <w:rsid w:val="34D32B73"/>
    <w:rsid w:val="35121EA0"/>
    <w:rsid w:val="35AF16C3"/>
    <w:rsid w:val="36273F67"/>
    <w:rsid w:val="36394BEF"/>
    <w:rsid w:val="366672CF"/>
    <w:rsid w:val="36705660"/>
    <w:rsid w:val="36931098"/>
    <w:rsid w:val="3696421B"/>
    <w:rsid w:val="36D1697E"/>
    <w:rsid w:val="3781113B"/>
    <w:rsid w:val="37C705CC"/>
    <w:rsid w:val="37DC1CD5"/>
    <w:rsid w:val="38042A02"/>
    <w:rsid w:val="380E3E07"/>
    <w:rsid w:val="383407C4"/>
    <w:rsid w:val="38356245"/>
    <w:rsid w:val="383A3FE9"/>
    <w:rsid w:val="38D812D2"/>
    <w:rsid w:val="38E452E6"/>
    <w:rsid w:val="38EF30F5"/>
    <w:rsid w:val="39663F4D"/>
    <w:rsid w:val="39B54215"/>
    <w:rsid w:val="39F20CC8"/>
    <w:rsid w:val="39F86D61"/>
    <w:rsid w:val="3A040A3F"/>
    <w:rsid w:val="3A887993"/>
    <w:rsid w:val="3AA46CD1"/>
    <w:rsid w:val="3AAC46D0"/>
    <w:rsid w:val="3AC8077D"/>
    <w:rsid w:val="3B1874C8"/>
    <w:rsid w:val="3B2F1426"/>
    <w:rsid w:val="3B3742B4"/>
    <w:rsid w:val="3B38436E"/>
    <w:rsid w:val="3B410447"/>
    <w:rsid w:val="3BD45FF4"/>
    <w:rsid w:val="3C566C8A"/>
    <w:rsid w:val="3C975BCF"/>
    <w:rsid w:val="3C9C5ED7"/>
    <w:rsid w:val="3CC83746"/>
    <w:rsid w:val="3CF22653"/>
    <w:rsid w:val="3D06102C"/>
    <w:rsid w:val="3D0B3A11"/>
    <w:rsid w:val="3D1126DA"/>
    <w:rsid w:val="3D212EDB"/>
    <w:rsid w:val="3D217658"/>
    <w:rsid w:val="3D2F21F1"/>
    <w:rsid w:val="3D3F6F8E"/>
    <w:rsid w:val="3D664AA9"/>
    <w:rsid w:val="3DD863C0"/>
    <w:rsid w:val="3E3A59A8"/>
    <w:rsid w:val="3E81631A"/>
    <w:rsid w:val="3ED42521"/>
    <w:rsid w:val="3F1C50AD"/>
    <w:rsid w:val="3F4D5267"/>
    <w:rsid w:val="3FA6268D"/>
    <w:rsid w:val="3FAC2F13"/>
    <w:rsid w:val="401D5D3B"/>
    <w:rsid w:val="403703F1"/>
    <w:rsid w:val="40795178"/>
    <w:rsid w:val="409C408B"/>
    <w:rsid w:val="412F10C8"/>
    <w:rsid w:val="415F7756"/>
    <w:rsid w:val="416C231C"/>
    <w:rsid w:val="418238EE"/>
    <w:rsid w:val="42014610"/>
    <w:rsid w:val="421A1D78"/>
    <w:rsid w:val="425132C0"/>
    <w:rsid w:val="426A7579"/>
    <w:rsid w:val="42BB357B"/>
    <w:rsid w:val="43165F50"/>
    <w:rsid w:val="43B12268"/>
    <w:rsid w:val="43CF10BE"/>
    <w:rsid w:val="43F67691"/>
    <w:rsid w:val="44494618"/>
    <w:rsid w:val="445D7CFA"/>
    <w:rsid w:val="446F6056"/>
    <w:rsid w:val="449C102A"/>
    <w:rsid w:val="44BD3BD6"/>
    <w:rsid w:val="45DA3042"/>
    <w:rsid w:val="4646138E"/>
    <w:rsid w:val="464F1487"/>
    <w:rsid w:val="46DE0ED1"/>
    <w:rsid w:val="47080B5C"/>
    <w:rsid w:val="472E5BBF"/>
    <w:rsid w:val="47834B64"/>
    <w:rsid w:val="479931AE"/>
    <w:rsid w:val="47BE5573"/>
    <w:rsid w:val="47E250E6"/>
    <w:rsid w:val="48A37CB9"/>
    <w:rsid w:val="48B91E5D"/>
    <w:rsid w:val="48E87129"/>
    <w:rsid w:val="490F4DEA"/>
    <w:rsid w:val="492A0E97"/>
    <w:rsid w:val="49AA15A3"/>
    <w:rsid w:val="49E75788"/>
    <w:rsid w:val="49F91409"/>
    <w:rsid w:val="4A1B6221"/>
    <w:rsid w:val="4A3B4F8C"/>
    <w:rsid w:val="4A6B4506"/>
    <w:rsid w:val="4A8F08F3"/>
    <w:rsid w:val="4AAC461E"/>
    <w:rsid w:val="4ACE4BEE"/>
    <w:rsid w:val="4AEF721B"/>
    <w:rsid w:val="4AFA3691"/>
    <w:rsid w:val="4B0B13AD"/>
    <w:rsid w:val="4B410375"/>
    <w:rsid w:val="4B5E7B32"/>
    <w:rsid w:val="4B7B4EE4"/>
    <w:rsid w:val="4C147660"/>
    <w:rsid w:val="4C2E4987"/>
    <w:rsid w:val="4C6562E6"/>
    <w:rsid w:val="4CC82987"/>
    <w:rsid w:val="4CE36A34"/>
    <w:rsid w:val="4D0F1DAD"/>
    <w:rsid w:val="4D151ABA"/>
    <w:rsid w:val="4D4963D8"/>
    <w:rsid w:val="4DD9505C"/>
    <w:rsid w:val="4E0A479A"/>
    <w:rsid w:val="4E6A7B35"/>
    <w:rsid w:val="4EDE7C89"/>
    <w:rsid w:val="4EEA223F"/>
    <w:rsid w:val="4F3007F7"/>
    <w:rsid w:val="4F39377E"/>
    <w:rsid w:val="4F4A4635"/>
    <w:rsid w:val="4F6A4F5A"/>
    <w:rsid w:val="4F6B6973"/>
    <w:rsid w:val="4F716C20"/>
    <w:rsid w:val="4F9E0E2B"/>
    <w:rsid w:val="4FB819D5"/>
    <w:rsid w:val="500927E1"/>
    <w:rsid w:val="50290A0F"/>
    <w:rsid w:val="50394DF5"/>
    <w:rsid w:val="50C61B92"/>
    <w:rsid w:val="50D133DB"/>
    <w:rsid w:val="513B5867"/>
    <w:rsid w:val="51881C50"/>
    <w:rsid w:val="51AF7912"/>
    <w:rsid w:val="52214A5D"/>
    <w:rsid w:val="52622C38"/>
    <w:rsid w:val="52821107"/>
    <w:rsid w:val="5285086E"/>
    <w:rsid w:val="528F7BA4"/>
    <w:rsid w:val="52903990"/>
    <w:rsid w:val="52C36155"/>
    <w:rsid w:val="52C74B5B"/>
    <w:rsid w:val="52EB4E2E"/>
    <w:rsid w:val="530A434B"/>
    <w:rsid w:val="532064EF"/>
    <w:rsid w:val="53C122EA"/>
    <w:rsid w:val="53D7279A"/>
    <w:rsid w:val="54074C88"/>
    <w:rsid w:val="5425031B"/>
    <w:rsid w:val="54A40077"/>
    <w:rsid w:val="54BA6AA3"/>
    <w:rsid w:val="54DC2048"/>
    <w:rsid w:val="54E161C8"/>
    <w:rsid w:val="54EC7014"/>
    <w:rsid w:val="5511700B"/>
    <w:rsid w:val="554271C4"/>
    <w:rsid w:val="55432CF1"/>
    <w:rsid w:val="55545189"/>
    <w:rsid w:val="55563F10"/>
    <w:rsid w:val="55A41A91"/>
    <w:rsid w:val="55EE0C0B"/>
    <w:rsid w:val="56862746"/>
    <w:rsid w:val="56BC7B6F"/>
    <w:rsid w:val="56DF6C95"/>
    <w:rsid w:val="56F2514B"/>
    <w:rsid w:val="576158FB"/>
    <w:rsid w:val="5774562F"/>
    <w:rsid w:val="580544D9"/>
    <w:rsid w:val="580738AF"/>
    <w:rsid w:val="581E561D"/>
    <w:rsid w:val="584E6E8C"/>
    <w:rsid w:val="5872092A"/>
    <w:rsid w:val="58762D79"/>
    <w:rsid w:val="594B44CE"/>
    <w:rsid w:val="59871F4D"/>
    <w:rsid w:val="5A5907CA"/>
    <w:rsid w:val="5A5E4C52"/>
    <w:rsid w:val="5AC4067B"/>
    <w:rsid w:val="5ADA679A"/>
    <w:rsid w:val="5B9836D5"/>
    <w:rsid w:val="5BA22089"/>
    <w:rsid w:val="5BCD5945"/>
    <w:rsid w:val="5BCF546A"/>
    <w:rsid w:val="5BEA2363"/>
    <w:rsid w:val="5C55730B"/>
    <w:rsid w:val="5C78171D"/>
    <w:rsid w:val="5CA65E11"/>
    <w:rsid w:val="5CCB4D4C"/>
    <w:rsid w:val="5E0B78D6"/>
    <w:rsid w:val="5EB757F1"/>
    <w:rsid w:val="5EF97F23"/>
    <w:rsid w:val="5F355273"/>
    <w:rsid w:val="5F646C0E"/>
    <w:rsid w:val="5F781AB8"/>
    <w:rsid w:val="5FA32F55"/>
    <w:rsid w:val="5FB15B47"/>
    <w:rsid w:val="5FD101F1"/>
    <w:rsid w:val="6045177F"/>
    <w:rsid w:val="60787079"/>
    <w:rsid w:val="60D67A67"/>
    <w:rsid w:val="60FE0F34"/>
    <w:rsid w:val="61254671"/>
    <w:rsid w:val="612A4050"/>
    <w:rsid w:val="615A5099"/>
    <w:rsid w:val="615C160D"/>
    <w:rsid w:val="616B161C"/>
    <w:rsid w:val="617A4C05"/>
    <w:rsid w:val="625C68EC"/>
    <w:rsid w:val="627057BC"/>
    <w:rsid w:val="62872FB3"/>
    <w:rsid w:val="62A96623"/>
    <w:rsid w:val="62C83A1C"/>
    <w:rsid w:val="6303037E"/>
    <w:rsid w:val="63041F5D"/>
    <w:rsid w:val="632815F1"/>
    <w:rsid w:val="63666773"/>
    <w:rsid w:val="63DA2CBD"/>
    <w:rsid w:val="63FA510E"/>
    <w:rsid w:val="641039FE"/>
    <w:rsid w:val="644E4B1D"/>
    <w:rsid w:val="647372DB"/>
    <w:rsid w:val="64EC4A56"/>
    <w:rsid w:val="64ED1AE8"/>
    <w:rsid w:val="653C0B5F"/>
    <w:rsid w:val="6580295A"/>
    <w:rsid w:val="65827499"/>
    <w:rsid w:val="65C2756A"/>
    <w:rsid w:val="66495BDD"/>
    <w:rsid w:val="66AA6C33"/>
    <w:rsid w:val="66E724DE"/>
    <w:rsid w:val="66E80E2A"/>
    <w:rsid w:val="67092797"/>
    <w:rsid w:val="671578AF"/>
    <w:rsid w:val="67957DFD"/>
    <w:rsid w:val="67A94890"/>
    <w:rsid w:val="67CF6CDD"/>
    <w:rsid w:val="67F66B9D"/>
    <w:rsid w:val="69046F0B"/>
    <w:rsid w:val="69194579"/>
    <w:rsid w:val="692E7D33"/>
    <w:rsid w:val="6936532B"/>
    <w:rsid w:val="6937082E"/>
    <w:rsid w:val="69701C8D"/>
    <w:rsid w:val="699975CE"/>
    <w:rsid w:val="699D6B55"/>
    <w:rsid w:val="69B95994"/>
    <w:rsid w:val="69BD7058"/>
    <w:rsid w:val="69EA2328"/>
    <w:rsid w:val="6A085C17"/>
    <w:rsid w:val="6A8B7E5B"/>
    <w:rsid w:val="6AB22299"/>
    <w:rsid w:val="6AD06D26"/>
    <w:rsid w:val="6AD20B92"/>
    <w:rsid w:val="6ADE2DB2"/>
    <w:rsid w:val="6AE43D6D"/>
    <w:rsid w:val="6B333AEC"/>
    <w:rsid w:val="6B6C6197"/>
    <w:rsid w:val="6BFF7183"/>
    <w:rsid w:val="6C19354C"/>
    <w:rsid w:val="6CD50C9B"/>
    <w:rsid w:val="6CE931BD"/>
    <w:rsid w:val="6D0257DA"/>
    <w:rsid w:val="6D0A36F2"/>
    <w:rsid w:val="6DA97D78"/>
    <w:rsid w:val="6DE74955"/>
    <w:rsid w:val="6E4224F5"/>
    <w:rsid w:val="6E573394"/>
    <w:rsid w:val="6E740745"/>
    <w:rsid w:val="6EAD21BF"/>
    <w:rsid w:val="6EF35130"/>
    <w:rsid w:val="6F1C0BDB"/>
    <w:rsid w:val="6F352D82"/>
    <w:rsid w:val="6F5E47A3"/>
    <w:rsid w:val="6FC078E5"/>
    <w:rsid w:val="704509C1"/>
    <w:rsid w:val="705C7D03"/>
    <w:rsid w:val="7079158C"/>
    <w:rsid w:val="70980188"/>
    <w:rsid w:val="7127166C"/>
    <w:rsid w:val="717B51BA"/>
    <w:rsid w:val="718A6651"/>
    <w:rsid w:val="72305957"/>
    <w:rsid w:val="72453989"/>
    <w:rsid w:val="728819D0"/>
    <w:rsid w:val="72C05B3A"/>
    <w:rsid w:val="72D95EEB"/>
    <w:rsid w:val="730114D3"/>
    <w:rsid w:val="730E33D2"/>
    <w:rsid w:val="733E6DC5"/>
    <w:rsid w:val="733F3BA1"/>
    <w:rsid w:val="735402C3"/>
    <w:rsid w:val="73B2313C"/>
    <w:rsid w:val="73C43C15"/>
    <w:rsid w:val="73D93DA0"/>
    <w:rsid w:val="73EC4FBF"/>
    <w:rsid w:val="74850B4C"/>
    <w:rsid w:val="754526AC"/>
    <w:rsid w:val="75653527"/>
    <w:rsid w:val="756722AD"/>
    <w:rsid w:val="75953045"/>
    <w:rsid w:val="75FD0222"/>
    <w:rsid w:val="76124539"/>
    <w:rsid w:val="76BF646F"/>
    <w:rsid w:val="76CF057A"/>
    <w:rsid w:val="76DF0815"/>
    <w:rsid w:val="770A0384"/>
    <w:rsid w:val="771C4DF6"/>
    <w:rsid w:val="772E7150"/>
    <w:rsid w:val="77565B5E"/>
    <w:rsid w:val="775C1F10"/>
    <w:rsid w:val="77A6699A"/>
    <w:rsid w:val="78581280"/>
    <w:rsid w:val="792B4B56"/>
    <w:rsid w:val="7A013C4D"/>
    <w:rsid w:val="7B9B6ED9"/>
    <w:rsid w:val="7C7D30F3"/>
    <w:rsid w:val="7C9F3284"/>
    <w:rsid w:val="7CA3658B"/>
    <w:rsid w:val="7D0F0FB9"/>
    <w:rsid w:val="7D1367C2"/>
    <w:rsid w:val="7D300C2D"/>
    <w:rsid w:val="7D704107"/>
    <w:rsid w:val="7DA939D5"/>
    <w:rsid w:val="7DCB29F1"/>
    <w:rsid w:val="7E294F89"/>
    <w:rsid w:val="7E5B31DA"/>
    <w:rsid w:val="7EA0044B"/>
    <w:rsid w:val="7ECC4792"/>
    <w:rsid w:val="7F5027ED"/>
    <w:rsid w:val="7F6C211D"/>
    <w:rsid w:val="7F712D22"/>
    <w:rsid w:val="7F7A5DC4"/>
    <w:rsid w:val="7FAE0608"/>
    <w:rsid w:val="7FDC23D1"/>
    <w:rsid w:val="7FDC5C54"/>
    <w:rsid w:val="7FF43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szCs w:val="20"/>
      <w:lang w:eastAsia="ar-SA"/>
    </w:rPr>
  </w:style>
  <w:style w:type="paragraph" w:styleId="3">
    <w:name w:val="Body Text Indent"/>
    <w:basedOn w:val="1"/>
    <w:next w:val="1"/>
    <w:qFormat/>
    <w:uiPriority w:val="0"/>
    <w:pPr>
      <w:spacing w:after="120"/>
      <w:ind w:left="420" w:leftChars="200"/>
    </w:pPr>
  </w:style>
  <w:style w:type="paragraph" w:styleId="4">
    <w:name w:val="toc 5"/>
    <w:basedOn w:val="1"/>
    <w:next w:val="1"/>
    <w:qFormat/>
    <w:uiPriority w:val="39"/>
    <w:pPr>
      <w:ind w:left="720"/>
      <w:jc w:val="left"/>
    </w:pPr>
    <w:rPr>
      <w:rFonts w:ascii="Times New Roman" w:hAnsi="Times New Roman" w:eastAsia="宋体" w:cs="Times New Roman"/>
      <w:sz w:val="18"/>
      <w:szCs w:val="20"/>
    </w:rPr>
  </w:style>
  <w:style w:type="paragraph" w:styleId="5">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6">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3"/>
    <w:qFormat/>
    <w:uiPriority w:val="0"/>
    <w:pPr>
      <w:ind w:firstLine="200" w:firstLineChars="200"/>
    </w:pPr>
  </w:style>
  <w:style w:type="character" w:styleId="11">
    <w:name w:val="page number"/>
    <w:basedOn w:val="12"/>
    <w:qFormat/>
    <w:uiPriority w:val="0"/>
  </w:style>
  <w:style w:type="character" w:customStyle="1" w:styleId="12">
    <w:name w:val="默认段落字体1"/>
    <w:qFormat/>
    <w:uiPriority w:val="0"/>
  </w:style>
  <w:style w:type="character" w:styleId="13">
    <w:name w:val="Hyperlink"/>
    <w:basedOn w:val="10"/>
    <w:qFormat/>
    <w:uiPriority w:val="0"/>
    <w:rPr>
      <w:color w:val="0000FF"/>
      <w:u w:val="single"/>
    </w:rPr>
  </w:style>
  <w:style w:type="paragraph" w:customStyle="1" w:styleId="14">
    <w:name w:val="列出段落11"/>
    <w:basedOn w:val="1"/>
    <w:qFormat/>
    <w:uiPriority w:val="34"/>
    <w:pPr>
      <w:ind w:firstLine="420" w:firstLineChars="200"/>
    </w:pPr>
    <w:rPr>
      <w:rFonts w:ascii="Calibri" w:hAnsi="Calibri"/>
      <w:szCs w:val="22"/>
    </w:rPr>
  </w:style>
  <w:style w:type="paragraph" w:customStyle="1" w:styleId="15">
    <w:name w:val="(符号)四标题1.1"/>
    <w:basedOn w:val="1"/>
    <w:qFormat/>
    <w:uiPriority w:val="0"/>
    <w:pPr>
      <w:numPr>
        <w:ilvl w:val="1"/>
        <w:numId w:val="1"/>
      </w:numPr>
      <w:tabs>
        <w:tab w:val="left" w:pos="420"/>
        <w:tab w:val="left" w:pos="1180"/>
      </w:tabs>
      <w:spacing w:line="500" w:lineRule="exact"/>
    </w:pPr>
    <w:rPr>
      <w:rFonts w:ascii="宋体" w:hAnsi="宋体"/>
      <w:color w:val="000000"/>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1645</Words>
  <Characters>1750</Characters>
  <Lines>0</Lines>
  <Paragraphs>0</Paragraphs>
  <TotalTime>3877</TotalTime>
  <ScaleCrop>false</ScaleCrop>
  <LinksUpToDate>false</LinksUpToDate>
  <CharactersWithSpaces>1783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小源atom</cp:lastModifiedBy>
  <dcterms:modified xsi:type="dcterms:W3CDTF">2024-05-27T00:36:47Z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commondata">
    <vt:lpwstr>eyJoZGlkIjoiOGE0YWM2YTgzNDZmMDI4NzlmYmU4NWQ2ZDE5YmFmY2UifQ==</vt:lpwstr>
  </property>
  <property fmtid="{D5CDD505-2E9C-101B-9397-08002B2CF9AE}" pid="4" name="ICV">
    <vt:lpwstr>5671298CF267433489E22F7B39E35668_13</vt:lpwstr>
  </property>
</Properties>
</file>